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7FFAF" w14:textId="77777777" w:rsidR="005B7578" w:rsidRDefault="005B7578" w:rsidP="005B7578">
      <w:pPr>
        <w:spacing w:after="30"/>
      </w:pPr>
      <w:r>
        <w:rPr>
          <w:rFonts w:ascii="Arial" w:eastAsia="Arial" w:hAnsi="Arial" w:cs="Arial"/>
          <w:b/>
          <w:bCs/>
          <w:color w:val="5B1F4A"/>
          <w:sz w:val="40"/>
          <w:szCs w:val="40"/>
        </w:rPr>
        <w:t>RELATIONSHIP SIT-REP</w:t>
      </w:r>
    </w:p>
    <w:p w14:paraId="5808B67D" w14:textId="77777777" w:rsidR="005B7578" w:rsidRDefault="005B7578" w:rsidP="005B7578">
      <w:pPr>
        <w:spacing w:after="30"/>
      </w:pPr>
      <w:r>
        <w:rPr>
          <w:rFonts w:ascii="Arial" w:eastAsia="Arial" w:hAnsi="Arial" w:cs="Arial"/>
          <w:i/>
          <w:iCs/>
          <w:color w:val="C8A96E"/>
          <w:sz w:val="22"/>
          <w:szCs w:val="22"/>
        </w:rPr>
        <w:t>Full Concept Document — For Internal Reference and Partner Presentations</w:t>
      </w:r>
    </w:p>
    <w:p w14:paraId="614DB20C" w14:textId="77777777" w:rsidR="005B7578" w:rsidRDefault="005B7578" w:rsidP="005B7578">
      <w:pPr>
        <w:pBdr>
          <w:bottom w:val="single" w:sz="2" w:space="3" w:color="D4B8C8"/>
        </w:pBdr>
        <w:spacing w:before="160" w:after="60"/>
      </w:pPr>
      <w:r>
        <w:rPr>
          <w:rFonts w:ascii="Arial" w:eastAsia="Arial" w:hAnsi="Arial" w:cs="Arial"/>
          <w:b/>
          <w:bCs/>
          <w:color w:val="5B1F4A"/>
          <w:sz w:val="21"/>
          <w:szCs w:val="21"/>
        </w:rPr>
        <w:t>Core Purpose:</w:t>
      </w:r>
      <w:r w:rsidRPr="009101C2">
        <w:rPr>
          <w:rFonts w:ascii="Arial" w:eastAsia="Arial" w:hAnsi="Arial" w:cs="Arial"/>
          <w:color w:val="555555"/>
        </w:rPr>
        <w:t xml:space="preserve"> </w:t>
      </w:r>
      <w:r>
        <w:rPr>
          <w:rFonts w:ascii="Arial" w:eastAsia="Arial" w:hAnsi="Arial" w:cs="Arial"/>
          <w:color w:val="555555"/>
        </w:rPr>
        <w:t>SITREP = “What is happening right now, and what do I do about it?”</w:t>
      </w:r>
    </w:p>
    <w:p w14:paraId="7CB471FD" w14:textId="77777777" w:rsidR="005B7578" w:rsidRDefault="005B7578" w:rsidP="005B7578">
      <w:pPr>
        <w:spacing w:after="80"/>
      </w:pPr>
      <w:r>
        <w:rPr>
          <w:rFonts w:ascii="Arial" w:eastAsia="Arial" w:hAnsi="Arial" w:cs="Arial"/>
          <w:color w:val="555555"/>
        </w:rPr>
        <w:t xml:space="preserve">The Relationship Sit-Rep is a structured situational awareness and action system for emotional state, relationship dynamics, and life navigation. It feeds directly into the Hero’s Relationship Journey framework and exists in two versions — one safety-focused for the Sexess aid side, one growth-focused for the </w:t>
      </w:r>
      <w:proofErr w:type="spellStart"/>
      <w:r>
        <w:rPr>
          <w:rFonts w:ascii="Arial" w:eastAsia="Arial" w:hAnsi="Arial" w:cs="Arial"/>
          <w:color w:val="555555"/>
        </w:rPr>
        <w:t>Intimology</w:t>
      </w:r>
      <w:proofErr w:type="spellEnd"/>
      <w:r>
        <w:rPr>
          <w:rFonts w:ascii="Arial" w:eastAsia="Arial" w:hAnsi="Arial" w:cs="Arial"/>
          <w:color w:val="555555"/>
        </w:rPr>
        <w:t xml:space="preserve"> education side.</w:t>
      </w:r>
    </w:p>
    <w:p w14:paraId="3185EBE0" w14:textId="77777777" w:rsidR="005B7578" w:rsidRDefault="005B7578" w:rsidP="005B7578">
      <w:pPr>
        <w:spacing w:after="80"/>
      </w:pPr>
      <w:r>
        <w:rPr>
          <w:rFonts w:ascii="Arial" w:eastAsia="Arial" w:hAnsi="Arial" w:cs="Arial"/>
          <w:color w:val="555555"/>
        </w:rPr>
        <w:t>It is not a journal. Not a personality sorter. Not a feelings tracker. It is a pattern recognition and guided action tool that turns invisible relationship dynamics into observable, actionable information over time. Think of it as Kaizen for your relationship — small, consistent check-ins that compound into clear pattern recognition over time.</w:t>
      </w:r>
    </w:p>
    <w:p w14:paraId="79B6B8AD" w14:textId="77777777" w:rsidR="005B7578" w:rsidRDefault="005B7578" w:rsidP="005B7578">
      <w:pPr>
        <w:pBdr>
          <w:bottom w:val="single" w:sz="2" w:space="3" w:color="D4B8C8"/>
        </w:pBdr>
        <w:spacing w:before="160" w:after="60"/>
      </w:pPr>
      <w:r>
        <w:rPr>
          <w:rFonts w:ascii="Arial" w:eastAsia="Arial" w:hAnsi="Arial" w:cs="Arial"/>
          <w:b/>
          <w:bCs/>
          <w:color w:val="5B1F4A"/>
          <w:sz w:val="21"/>
          <w:szCs w:val="21"/>
        </w:rPr>
        <w:t>The Problem It Solves</w:t>
      </w:r>
    </w:p>
    <w:p w14:paraId="71D7CFE9" w14:textId="77777777" w:rsidR="005B7578" w:rsidRDefault="005B7578" w:rsidP="005B7578">
      <w:pPr>
        <w:spacing w:after="80"/>
        <w:rPr>
          <w:rFonts w:ascii="Arial" w:eastAsia="Arial" w:hAnsi="Arial" w:cs="Arial"/>
          <w:color w:val="555555"/>
        </w:rPr>
      </w:pPr>
      <w:r>
        <w:rPr>
          <w:rFonts w:ascii="Arial" w:eastAsia="Arial" w:hAnsi="Arial" w:cs="Arial"/>
          <w:color w:val="555555"/>
        </w:rPr>
        <w:t xml:space="preserve">Most people leave too early or stay too long in confusing and unhealthy relationships because there’s no objective way to measure relational health. People believe in low effort fairy tale connections. The lack of knowledge and skills allows emotions, trauma, and stress to distort judgment — making it hard to see what’s </w:t>
      </w:r>
      <w:proofErr w:type="gramStart"/>
      <w:r>
        <w:rPr>
          <w:rFonts w:ascii="Arial" w:eastAsia="Arial" w:hAnsi="Arial" w:cs="Arial"/>
          <w:color w:val="555555"/>
        </w:rPr>
        <w:t>actually happening</w:t>
      </w:r>
      <w:proofErr w:type="gramEnd"/>
      <w:r>
        <w:rPr>
          <w:rFonts w:ascii="Arial" w:eastAsia="Arial" w:hAnsi="Arial" w:cs="Arial"/>
          <w:color w:val="555555"/>
        </w:rPr>
        <w:t xml:space="preserve">. </w:t>
      </w:r>
    </w:p>
    <w:p w14:paraId="7F5022A4" w14:textId="77777777" w:rsidR="005B7578" w:rsidRDefault="005B7578" w:rsidP="005B7578">
      <w:pPr>
        <w:spacing w:after="80"/>
      </w:pPr>
      <w:r>
        <w:rPr>
          <w:rFonts w:ascii="Arial" w:eastAsia="Arial" w:hAnsi="Arial" w:cs="Arial"/>
          <w:color w:val="555555"/>
        </w:rPr>
        <w:t>Even people who know relationships take work rarely have the tools to identify where the system is breaking down. Where are the bottlenecks? Where is internal pressure building? Where are external stressors creating friction that gets misdirected at a partner? How do you make a proactive adjustment before a trigger response does damage that takes months to repair?</w:t>
      </w:r>
    </w:p>
    <w:p w14:paraId="404DD74D" w14:textId="77777777" w:rsidR="005B7578" w:rsidRDefault="005B7578" w:rsidP="005B7578">
      <w:pPr>
        <w:spacing w:after="80"/>
      </w:pPr>
      <w:r>
        <w:rPr>
          <w:rFonts w:ascii="Arial" w:eastAsia="Arial" w:hAnsi="Arial" w:cs="Arial"/>
          <w:color w:val="555555"/>
        </w:rPr>
        <w:t>Most relationships are managed by reaction alone — no tracking, no pattern recognition, no way to distinguish a bad day from a dangerous dynamic, no way to know if a reaction is coming from a genuine concern or an old trigger. The Sit-Rep changes that by creating a structured record over time that patterns can’t hide from.</w:t>
      </w:r>
    </w:p>
    <w:p w14:paraId="05498A34" w14:textId="77777777" w:rsidR="005B7578" w:rsidRDefault="005B7578" w:rsidP="005B7578">
      <w:pPr>
        <w:pBdr>
          <w:bottom w:val="single" w:sz="2" w:space="3" w:color="D4B8C8"/>
        </w:pBdr>
        <w:spacing w:before="160" w:after="60"/>
      </w:pPr>
      <w:r>
        <w:rPr>
          <w:rFonts w:ascii="Arial" w:eastAsia="Arial" w:hAnsi="Arial" w:cs="Arial"/>
          <w:b/>
          <w:bCs/>
          <w:color w:val="5B1F4A"/>
          <w:sz w:val="21"/>
          <w:szCs w:val="21"/>
        </w:rPr>
        <w:t>Two Versions</w:t>
      </w:r>
    </w:p>
    <w:p w14:paraId="7147AF93" w14:textId="77777777" w:rsidR="005B7578" w:rsidRDefault="005B7578" w:rsidP="005B7578">
      <w:pPr>
        <w:spacing w:after="80"/>
      </w:pPr>
      <w:r>
        <w:rPr>
          <w:rFonts w:ascii="Arial" w:eastAsia="Arial" w:hAnsi="Arial" w:cs="Arial"/>
          <w:b/>
          <w:bCs/>
          <w:color w:val="5B1F4A"/>
        </w:rPr>
        <w:t>Version 1 — Sexess Safety Version</w:t>
      </w:r>
    </w:p>
    <w:p w14:paraId="66278D91" w14:textId="77777777" w:rsidR="005B7578" w:rsidRDefault="005B7578" w:rsidP="005B7578">
      <w:pPr>
        <w:spacing w:after="80"/>
      </w:pPr>
      <w:r>
        <w:rPr>
          <w:rFonts w:ascii="Arial" w:eastAsia="Arial" w:hAnsi="Arial" w:cs="Arial"/>
          <w:color w:val="555555"/>
        </w:rPr>
        <w:t xml:space="preserve">For people in distress or recovery. Safety-focused. Stronger flags for abuse, instability, and crisis. Guided next steps include support routing, crisis resources, and coaching prompts. </w:t>
      </w:r>
      <w:proofErr w:type="gramStart"/>
      <w:r>
        <w:rPr>
          <w:rFonts w:ascii="Arial" w:eastAsia="Arial" w:hAnsi="Arial" w:cs="Arial"/>
          <w:color w:val="555555"/>
        </w:rPr>
        <w:t>Helps</w:t>
      </w:r>
      <w:proofErr w:type="gramEnd"/>
      <w:r>
        <w:rPr>
          <w:rFonts w:ascii="Arial" w:eastAsia="Arial" w:hAnsi="Arial" w:cs="Arial"/>
          <w:color w:val="555555"/>
        </w:rPr>
        <w:t xml:space="preserve"> users recognize danger clearly when emotions are making it hard to see.</w:t>
      </w:r>
    </w:p>
    <w:p w14:paraId="166ED490" w14:textId="77777777" w:rsidR="005B7578" w:rsidRDefault="005B7578" w:rsidP="005B7578">
      <w:pPr>
        <w:spacing w:after="80"/>
      </w:pPr>
      <w:r>
        <w:rPr>
          <w:rFonts w:ascii="Arial" w:eastAsia="Arial" w:hAnsi="Arial" w:cs="Arial"/>
          <w:b/>
          <w:bCs/>
          <w:color w:val="5B1F4A"/>
        </w:rPr>
        <w:t xml:space="preserve">Version 2 — </w:t>
      </w:r>
      <w:proofErr w:type="spellStart"/>
      <w:r>
        <w:rPr>
          <w:rFonts w:ascii="Arial" w:eastAsia="Arial" w:hAnsi="Arial" w:cs="Arial"/>
          <w:b/>
          <w:bCs/>
          <w:color w:val="5B1F4A"/>
        </w:rPr>
        <w:t>Intimology</w:t>
      </w:r>
      <w:proofErr w:type="spellEnd"/>
      <w:r>
        <w:rPr>
          <w:rFonts w:ascii="Arial" w:eastAsia="Arial" w:hAnsi="Arial" w:cs="Arial"/>
          <w:b/>
          <w:bCs/>
          <w:color w:val="5B1F4A"/>
        </w:rPr>
        <w:t xml:space="preserve"> Growth Version</w:t>
      </w:r>
    </w:p>
    <w:p w14:paraId="34DD4678" w14:textId="77777777" w:rsidR="005B7578" w:rsidRDefault="005B7578" w:rsidP="005B7578">
      <w:pPr>
        <w:spacing w:after="80"/>
      </w:pPr>
      <w:r>
        <w:rPr>
          <w:rFonts w:ascii="Arial" w:eastAsia="Arial" w:hAnsi="Arial" w:cs="Arial"/>
          <w:color w:val="555555"/>
        </w:rPr>
        <w:t>For development and relationship optimization. Focus on communication, intimacy, and performance. Identifies bottlenecks and pressure points. Routes users to the right Hero’s Relationship Journey curriculum module based on what the data shows. Moves beyond awareness into decisive, aligned action.</w:t>
      </w:r>
    </w:p>
    <w:p w14:paraId="27E53F3D" w14:textId="77777777" w:rsidR="005B7578" w:rsidRDefault="005B7578" w:rsidP="005B7578">
      <w:pPr>
        <w:pBdr>
          <w:bottom w:val="single" w:sz="2" w:space="3" w:color="D4B8C8"/>
        </w:pBdr>
        <w:spacing w:before="160" w:after="60"/>
      </w:pPr>
      <w:r>
        <w:rPr>
          <w:rFonts w:ascii="Arial" w:eastAsia="Arial" w:hAnsi="Arial" w:cs="Arial"/>
          <w:b/>
          <w:bCs/>
          <w:color w:val="5B1F4A"/>
          <w:sz w:val="21"/>
          <w:szCs w:val="21"/>
        </w:rPr>
        <w:t>Core Features</w:t>
      </w:r>
    </w:p>
    <w:p w14:paraId="20B7D23E" w14:textId="77777777" w:rsidR="005B7578" w:rsidRDefault="005B7578" w:rsidP="005B7578">
      <w:r>
        <w:rPr>
          <w:rFonts w:ascii="Arial" w:eastAsia="Arial" w:hAnsi="Arial" w:cs="Arial"/>
          <w:b/>
          <w:bCs/>
          <w:color w:val="5B1F4A"/>
        </w:rPr>
        <w:t>1. Daily Sit-Rep Check-In</w:t>
      </w:r>
    </w:p>
    <w:p w14:paraId="47094826" w14:textId="77777777" w:rsidR="005B7578" w:rsidRDefault="005B7578" w:rsidP="005B7578">
      <w:pPr>
        <w:spacing w:after="80"/>
      </w:pPr>
      <w:r>
        <w:rPr>
          <w:rFonts w:ascii="Arial" w:eastAsia="Arial" w:hAnsi="Arial" w:cs="Arial"/>
          <w:color w:val="555555"/>
        </w:rPr>
        <w:t>A structured input capturing: current emotional state, relationship status (self/partner/environment), stressors and triggers, wins and progress, and risk level (low/moderate/high). Mirrors military-style situational awareness adapted to relationships.</w:t>
      </w:r>
    </w:p>
    <w:p w14:paraId="4A21B96A" w14:textId="77777777" w:rsidR="005B7578" w:rsidRDefault="005B7578" w:rsidP="005B7578">
      <w:r>
        <w:rPr>
          <w:rFonts w:ascii="Arial" w:eastAsia="Arial" w:hAnsi="Arial" w:cs="Arial"/>
          <w:b/>
          <w:bCs/>
          <w:color w:val="5B1F4A"/>
        </w:rPr>
        <w:t>2. Status Levels — Hero’s Journey Framing</w:t>
      </w:r>
    </w:p>
    <w:p w14:paraId="0AD2E8A9" w14:textId="77777777" w:rsidR="005B7578" w:rsidRDefault="005B7578" w:rsidP="005B7578">
      <w:pPr>
        <w:spacing w:after="80"/>
      </w:pPr>
      <w:r>
        <w:rPr>
          <w:rFonts w:ascii="Arial" w:eastAsia="Arial" w:hAnsi="Arial" w:cs="Arial"/>
          <w:color w:val="555555"/>
        </w:rPr>
        <w:t>Users move between states based on their inputs, mapped to the Hero’s Journey curriculum stages: Unaware/Survival Mode → Discovery → Engagement/Development → Stability/Performance → Mastery/Leadership.</w:t>
      </w:r>
    </w:p>
    <w:p w14:paraId="58344401" w14:textId="77777777" w:rsidR="005B7578" w:rsidRDefault="005B7578" w:rsidP="005B7578">
      <w:r>
        <w:rPr>
          <w:rFonts w:ascii="Arial" w:eastAsia="Arial" w:hAnsi="Arial" w:cs="Arial"/>
          <w:b/>
          <w:bCs/>
          <w:color w:val="5B1F4A"/>
        </w:rPr>
        <w:t>3. Risk Detection System</w:t>
      </w:r>
    </w:p>
    <w:p w14:paraId="6821C56F" w14:textId="77777777" w:rsidR="005B7578" w:rsidRDefault="005B7578" w:rsidP="005B7578">
      <w:pPr>
        <w:spacing w:after="80"/>
      </w:pPr>
      <w:r>
        <w:rPr>
          <w:rFonts w:ascii="Arial" w:eastAsia="Arial" w:hAnsi="Arial" w:cs="Arial"/>
          <w:color w:val="555555"/>
        </w:rPr>
        <w:t>Based on check-in answers the app flags: emotional overload, conflict escalation, avoidance patterns, dependency and toxic dynamics, and whether the user or their partner may be unsafe to be around. Flags trigger coaching prompts, exercises, and workshop module recommendations.</w:t>
      </w:r>
    </w:p>
    <w:p w14:paraId="72A022D1" w14:textId="77777777" w:rsidR="005B7578" w:rsidRDefault="005B7578" w:rsidP="005B7578">
      <w:r>
        <w:rPr>
          <w:rFonts w:ascii="Arial" w:eastAsia="Arial" w:hAnsi="Arial" w:cs="Arial"/>
          <w:b/>
          <w:bCs/>
          <w:color w:val="5B1F4A"/>
        </w:rPr>
        <w:t>4. Guided Next Actions</w:t>
      </w:r>
    </w:p>
    <w:p w14:paraId="0464908F" w14:textId="77777777" w:rsidR="005B7578" w:rsidRDefault="005B7578" w:rsidP="005B7578">
      <w:pPr>
        <w:spacing w:after="80"/>
      </w:pPr>
      <w:r>
        <w:rPr>
          <w:rFonts w:ascii="Arial" w:eastAsia="Arial" w:hAnsi="Arial" w:cs="Arial"/>
          <w:color w:val="555555"/>
        </w:rPr>
        <w:t>Not just awareness — direction. Examples: “Pause and regulate before responding.” “Initiate a clarity conversation.” “Return to your personal boundaries module.” “Seek support / escalate care.” The tool never leaves a user with a problem and no path forward.</w:t>
      </w:r>
    </w:p>
    <w:p w14:paraId="210A6F54" w14:textId="77777777" w:rsidR="005B7578" w:rsidRDefault="005B7578" w:rsidP="005B7578">
      <w:r>
        <w:rPr>
          <w:rFonts w:ascii="Arial" w:eastAsia="Arial" w:hAnsi="Arial" w:cs="Arial"/>
          <w:b/>
          <w:bCs/>
          <w:color w:val="5B1F4A"/>
        </w:rPr>
        <w:t>5. Progress Tracking Dashboard</w:t>
      </w:r>
    </w:p>
    <w:p w14:paraId="285DB7E4" w14:textId="77777777" w:rsidR="005B7578" w:rsidRDefault="005B7578" w:rsidP="005B7578">
      <w:pPr>
        <w:spacing w:after="80"/>
      </w:pPr>
      <w:r>
        <w:rPr>
          <w:rFonts w:ascii="Arial" w:eastAsia="Arial" w:hAnsi="Arial" w:cs="Arial"/>
          <w:color w:val="555555"/>
        </w:rPr>
        <w:t>Tracks emotional stability over time, relationship health trends, completion of journey stages, and engagement with curriculum modules. Turns accumulated check-in data into a visible pattern picture.</w:t>
      </w:r>
    </w:p>
    <w:p w14:paraId="2E647F85" w14:textId="77777777" w:rsidR="005B7578" w:rsidRDefault="005B7578" w:rsidP="005B7578">
      <w:r>
        <w:rPr>
          <w:rFonts w:ascii="Arial" w:eastAsia="Arial" w:hAnsi="Arial" w:cs="Arial"/>
          <w:b/>
          <w:bCs/>
          <w:color w:val="5B1F4A"/>
        </w:rPr>
        <w:lastRenderedPageBreak/>
        <w:t>6. HRJ Curriculum Integration</w:t>
      </w:r>
    </w:p>
    <w:p w14:paraId="607CD50D" w14:textId="77777777" w:rsidR="005B7578" w:rsidRDefault="005B7578" w:rsidP="005B7578">
      <w:pPr>
        <w:spacing w:after="80"/>
      </w:pPr>
      <w:r>
        <w:rPr>
          <w:rFonts w:ascii="Arial" w:eastAsia="Arial" w:hAnsi="Arial" w:cs="Arial"/>
          <w:color w:val="555555"/>
        </w:rPr>
        <w:t>The Sit-Rep connects directly to the Hero’s Relationship Journey phases: Discovery (awareness), Readiness Run (accountability), Knighthood (leadership), Pleasure Protocols (safety and consent), Ascension (integration), and Mastery. Sit-Rep identifies the need and routes to the right module automatically.</w:t>
      </w:r>
    </w:p>
    <w:p w14:paraId="3006355B" w14:textId="77777777" w:rsidR="005B7578" w:rsidRDefault="005B7578" w:rsidP="005B7578">
      <w:r>
        <w:rPr>
          <w:rFonts w:ascii="Arial" w:eastAsia="Arial" w:hAnsi="Arial" w:cs="Arial"/>
          <w:b/>
          <w:bCs/>
          <w:color w:val="5B1F4A"/>
        </w:rPr>
        <w:t>7. Choose Your Own Adventure Flow</w:t>
      </w:r>
    </w:p>
    <w:p w14:paraId="7939B188" w14:textId="77777777" w:rsidR="005B7578" w:rsidRDefault="005B7578" w:rsidP="005B7578">
      <w:pPr>
        <w:spacing w:after="80"/>
      </w:pPr>
      <w:r>
        <w:rPr>
          <w:rFonts w:ascii="Arial" w:eastAsia="Arial" w:hAnsi="Arial" w:cs="Arial"/>
          <w:color w:val="555555"/>
        </w:rPr>
        <w:t>User answers branch into three paths: coaching path, education path, or intervention path. The tool meets users where they are rather than forcing a single linear experience.</w:t>
      </w:r>
    </w:p>
    <w:p w14:paraId="355CA791" w14:textId="77777777" w:rsidR="005B7578" w:rsidRDefault="005B7578" w:rsidP="005B7578">
      <w:pPr>
        <w:pBdr>
          <w:bottom w:val="single" w:sz="2" w:space="3" w:color="D4B8C8"/>
        </w:pBdr>
        <w:spacing w:before="160" w:after="60"/>
      </w:pPr>
      <w:r>
        <w:rPr>
          <w:rFonts w:ascii="Arial" w:eastAsia="Arial" w:hAnsi="Arial" w:cs="Arial"/>
          <w:b/>
          <w:bCs/>
          <w:color w:val="5B1F4A"/>
          <w:sz w:val="21"/>
          <w:szCs w:val="21"/>
        </w:rPr>
        <w:t>What It Tracks</w:t>
      </w:r>
    </w:p>
    <w:p w14:paraId="3E953493" w14:textId="77777777" w:rsidR="005B7578" w:rsidRDefault="005B7578" w:rsidP="005B7578">
      <w:pPr>
        <w:pStyle w:val="ListParagraph"/>
        <w:numPr>
          <w:ilvl w:val="0"/>
          <w:numId w:val="1"/>
        </w:numPr>
        <w:spacing w:after="60"/>
        <w:contextualSpacing w:val="0"/>
        <w:rPr>
          <w:rFonts w:ascii="Arial" w:eastAsia="Arial" w:hAnsi="Arial" w:cs="Arial"/>
          <w:color w:val="555555"/>
        </w:rPr>
        <w:sectPr w:rsidR="005B7578" w:rsidSect="005B7578">
          <w:headerReference w:type="default" r:id="rId5"/>
          <w:footerReference w:type="default" r:id="rId6"/>
          <w:pgSz w:w="12240" w:h="15840"/>
          <w:pgMar w:top="1080" w:right="1080" w:bottom="1080" w:left="1080" w:header="708" w:footer="708" w:gutter="0"/>
          <w:cols w:space="720"/>
          <w:docGrid w:linePitch="360"/>
        </w:sectPr>
      </w:pPr>
    </w:p>
    <w:p w14:paraId="7D0ECF81" w14:textId="77777777" w:rsidR="005B7578" w:rsidRDefault="005B7578" w:rsidP="005B7578">
      <w:pPr>
        <w:pStyle w:val="ListParagraph"/>
        <w:numPr>
          <w:ilvl w:val="0"/>
          <w:numId w:val="1"/>
        </w:numPr>
        <w:spacing w:after="60"/>
        <w:contextualSpacing w:val="0"/>
      </w:pPr>
      <w:r>
        <w:rPr>
          <w:rFonts w:ascii="Arial" w:eastAsia="Arial" w:hAnsi="Arial" w:cs="Arial"/>
          <w:color w:val="555555"/>
        </w:rPr>
        <w:t>Communication patterns</w:t>
      </w:r>
    </w:p>
    <w:p w14:paraId="3C3B7B7A" w14:textId="77777777" w:rsidR="005B7578" w:rsidRDefault="005B7578" w:rsidP="005B7578">
      <w:pPr>
        <w:pStyle w:val="ListParagraph"/>
        <w:numPr>
          <w:ilvl w:val="0"/>
          <w:numId w:val="1"/>
        </w:numPr>
        <w:spacing w:after="60"/>
        <w:contextualSpacing w:val="0"/>
      </w:pPr>
      <w:r>
        <w:rPr>
          <w:rFonts w:ascii="Arial" w:eastAsia="Arial" w:hAnsi="Arial" w:cs="Arial"/>
          <w:color w:val="555555"/>
        </w:rPr>
        <w:t>Conflict resolution and repair</w:t>
      </w:r>
    </w:p>
    <w:p w14:paraId="50FCDBA6" w14:textId="77777777" w:rsidR="005B7578" w:rsidRDefault="005B7578" w:rsidP="005B7578">
      <w:pPr>
        <w:pStyle w:val="ListParagraph"/>
        <w:numPr>
          <w:ilvl w:val="0"/>
          <w:numId w:val="1"/>
        </w:numPr>
        <w:spacing w:after="60"/>
        <w:contextualSpacing w:val="0"/>
      </w:pPr>
      <w:r>
        <w:rPr>
          <w:rFonts w:ascii="Arial" w:eastAsia="Arial" w:hAnsi="Arial" w:cs="Arial"/>
          <w:color w:val="555555"/>
        </w:rPr>
        <w:t>Consent and boundaries</w:t>
      </w:r>
    </w:p>
    <w:p w14:paraId="0F835177" w14:textId="77777777" w:rsidR="005B7578" w:rsidRDefault="005B7578" w:rsidP="005B7578">
      <w:pPr>
        <w:pStyle w:val="ListParagraph"/>
        <w:numPr>
          <w:ilvl w:val="0"/>
          <w:numId w:val="1"/>
        </w:numPr>
        <w:spacing w:after="60"/>
        <w:contextualSpacing w:val="0"/>
      </w:pPr>
      <w:r>
        <w:rPr>
          <w:rFonts w:ascii="Arial" w:eastAsia="Arial" w:hAnsi="Arial" w:cs="Arial"/>
          <w:color w:val="555555"/>
        </w:rPr>
        <w:t>Emotional safety</w:t>
      </w:r>
    </w:p>
    <w:p w14:paraId="3BD8F3C2" w14:textId="77777777" w:rsidR="005B7578" w:rsidRDefault="005B7578" w:rsidP="005B7578">
      <w:pPr>
        <w:pStyle w:val="ListParagraph"/>
        <w:numPr>
          <w:ilvl w:val="0"/>
          <w:numId w:val="1"/>
        </w:numPr>
        <w:spacing w:after="60"/>
        <w:contextualSpacing w:val="0"/>
      </w:pPr>
      <w:r>
        <w:rPr>
          <w:rFonts w:ascii="Arial" w:eastAsia="Arial" w:hAnsi="Arial" w:cs="Arial"/>
          <w:color w:val="555555"/>
        </w:rPr>
        <w:t>Growth vs. stagnation</w:t>
      </w:r>
    </w:p>
    <w:p w14:paraId="0D0C35CB" w14:textId="77777777" w:rsidR="005B7578" w:rsidRDefault="005B7578" w:rsidP="005B7578">
      <w:pPr>
        <w:pStyle w:val="ListParagraph"/>
        <w:numPr>
          <w:ilvl w:val="0"/>
          <w:numId w:val="1"/>
        </w:numPr>
        <w:spacing w:after="60"/>
        <w:contextualSpacing w:val="0"/>
      </w:pPr>
      <w:r>
        <w:rPr>
          <w:rFonts w:ascii="Arial" w:eastAsia="Arial" w:hAnsi="Arial" w:cs="Arial"/>
          <w:color w:val="555555"/>
        </w:rPr>
        <w:t>Patterns of concern</w:t>
      </w:r>
    </w:p>
    <w:p w14:paraId="287857D5" w14:textId="77777777" w:rsidR="005B7578" w:rsidRDefault="005B7578" w:rsidP="005B7578">
      <w:pPr>
        <w:pBdr>
          <w:bottom w:val="single" w:sz="2" w:space="3" w:color="D4B8C8"/>
        </w:pBdr>
        <w:spacing w:before="160" w:after="60"/>
        <w:rPr>
          <w:rFonts w:ascii="Arial" w:eastAsia="Arial" w:hAnsi="Arial" w:cs="Arial"/>
          <w:b/>
          <w:bCs/>
          <w:color w:val="5B1F4A"/>
          <w:sz w:val="21"/>
          <w:szCs w:val="21"/>
        </w:rPr>
        <w:sectPr w:rsidR="005B7578" w:rsidSect="005B7578">
          <w:type w:val="continuous"/>
          <w:pgSz w:w="12240" w:h="15840"/>
          <w:pgMar w:top="1080" w:right="1080" w:bottom="1080" w:left="1080" w:header="708" w:footer="708" w:gutter="0"/>
          <w:cols w:num="2" w:space="720"/>
          <w:docGrid w:linePitch="360"/>
        </w:sectPr>
      </w:pPr>
    </w:p>
    <w:p w14:paraId="2BCE4ADD" w14:textId="77777777" w:rsidR="005B7578" w:rsidRDefault="005B7578" w:rsidP="005B7578">
      <w:pPr>
        <w:pBdr>
          <w:bottom w:val="single" w:sz="2" w:space="3" w:color="D4B8C8"/>
        </w:pBdr>
        <w:spacing w:before="160" w:after="60"/>
      </w:pPr>
      <w:r>
        <w:rPr>
          <w:rFonts w:ascii="Arial" w:eastAsia="Arial" w:hAnsi="Arial" w:cs="Arial"/>
          <w:b/>
          <w:bCs/>
          <w:color w:val="5B1F4A"/>
          <w:sz w:val="21"/>
          <w:szCs w:val="21"/>
        </w:rPr>
        <w:t>What It Flags</w:t>
      </w:r>
    </w:p>
    <w:p w14:paraId="241ADAE0" w14:textId="77777777" w:rsidR="005B7578" w:rsidRDefault="005B7578" w:rsidP="005B7578">
      <w:pPr>
        <w:pStyle w:val="ListParagraph"/>
        <w:numPr>
          <w:ilvl w:val="0"/>
          <w:numId w:val="1"/>
        </w:numPr>
        <w:spacing w:after="60"/>
        <w:contextualSpacing w:val="0"/>
        <w:rPr>
          <w:rFonts w:ascii="Arial" w:eastAsia="Arial" w:hAnsi="Arial" w:cs="Arial"/>
          <w:color w:val="555555"/>
        </w:rPr>
        <w:sectPr w:rsidR="005B7578" w:rsidSect="005B7578">
          <w:type w:val="continuous"/>
          <w:pgSz w:w="12240" w:h="15840"/>
          <w:pgMar w:top="1080" w:right="1080" w:bottom="1080" w:left="1080" w:header="708" w:footer="708" w:gutter="0"/>
          <w:cols w:space="720"/>
          <w:docGrid w:linePitch="360"/>
        </w:sectPr>
      </w:pPr>
    </w:p>
    <w:p w14:paraId="354B8E01" w14:textId="77777777" w:rsidR="005B7578" w:rsidRDefault="005B7578" w:rsidP="005B7578">
      <w:pPr>
        <w:pStyle w:val="ListParagraph"/>
        <w:numPr>
          <w:ilvl w:val="0"/>
          <w:numId w:val="1"/>
        </w:numPr>
        <w:spacing w:after="60"/>
        <w:contextualSpacing w:val="0"/>
      </w:pPr>
      <w:r>
        <w:rPr>
          <w:rFonts w:ascii="Arial" w:eastAsia="Arial" w:hAnsi="Arial" w:cs="Arial"/>
          <w:color w:val="555555"/>
        </w:rPr>
        <w:t>Emotional overload</w:t>
      </w:r>
    </w:p>
    <w:p w14:paraId="2E9392E8" w14:textId="77777777" w:rsidR="005B7578" w:rsidRDefault="005B7578" w:rsidP="005B7578">
      <w:pPr>
        <w:pStyle w:val="ListParagraph"/>
        <w:numPr>
          <w:ilvl w:val="0"/>
          <w:numId w:val="1"/>
        </w:numPr>
        <w:spacing w:after="60"/>
        <w:contextualSpacing w:val="0"/>
      </w:pPr>
      <w:r>
        <w:rPr>
          <w:rFonts w:ascii="Arial" w:eastAsia="Arial" w:hAnsi="Arial" w:cs="Arial"/>
          <w:color w:val="555555"/>
        </w:rPr>
        <w:t>Conflict escalation patterns</w:t>
      </w:r>
    </w:p>
    <w:p w14:paraId="6E77A040" w14:textId="77777777" w:rsidR="005B7578" w:rsidRDefault="005B7578" w:rsidP="005B7578">
      <w:pPr>
        <w:pStyle w:val="ListParagraph"/>
        <w:numPr>
          <w:ilvl w:val="0"/>
          <w:numId w:val="1"/>
        </w:numPr>
        <w:spacing w:after="60"/>
        <w:contextualSpacing w:val="0"/>
      </w:pPr>
      <w:r>
        <w:rPr>
          <w:rFonts w:ascii="Arial" w:eastAsia="Arial" w:hAnsi="Arial" w:cs="Arial"/>
          <w:color w:val="555555"/>
        </w:rPr>
        <w:t>Avoidance patterns</w:t>
      </w:r>
    </w:p>
    <w:p w14:paraId="7E4BAC82" w14:textId="77777777" w:rsidR="005B7578" w:rsidRDefault="005B7578" w:rsidP="005B7578">
      <w:pPr>
        <w:pStyle w:val="ListParagraph"/>
        <w:numPr>
          <w:ilvl w:val="0"/>
          <w:numId w:val="1"/>
        </w:numPr>
        <w:spacing w:after="60"/>
        <w:contextualSpacing w:val="0"/>
      </w:pPr>
      <w:r>
        <w:rPr>
          <w:rFonts w:ascii="Arial" w:eastAsia="Arial" w:hAnsi="Arial" w:cs="Arial"/>
          <w:color w:val="555555"/>
        </w:rPr>
        <w:t>Dependency and toxic dynamics</w:t>
      </w:r>
    </w:p>
    <w:p w14:paraId="382601C5" w14:textId="77777777" w:rsidR="005B7578" w:rsidRDefault="005B7578" w:rsidP="005B7578">
      <w:pPr>
        <w:pStyle w:val="ListParagraph"/>
        <w:numPr>
          <w:ilvl w:val="0"/>
          <w:numId w:val="1"/>
        </w:numPr>
        <w:spacing w:after="60"/>
        <w:contextualSpacing w:val="0"/>
      </w:pPr>
      <w:r>
        <w:rPr>
          <w:rFonts w:ascii="Arial" w:eastAsia="Arial" w:hAnsi="Arial" w:cs="Arial"/>
          <w:color w:val="555555"/>
        </w:rPr>
        <w:t>Abuse indicators over time</w:t>
      </w:r>
    </w:p>
    <w:p w14:paraId="251EB6DD" w14:textId="77777777" w:rsidR="005B7578" w:rsidRDefault="005B7578" w:rsidP="005B7578">
      <w:pPr>
        <w:pStyle w:val="ListParagraph"/>
        <w:numPr>
          <w:ilvl w:val="0"/>
          <w:numId w:val="1"/>
        </w:numPr>
        <w:spacing w:after="60"/>
        <w:contextualSpacing w:val="0"/>
      </w:pPr>
      <w:r>
        <w:rPr>
          <w:rFonts w:ascii="Arial" w:eastAsia="Arial" w:hAnsi="Arial" w:cs="Arial"/>
          <w:color w:val="555555"/>
        </w:rPr>
        <w:t>Crisis level situations with support routing built in</w:t>
      </w:r>
    </w:p>
    <w:p w14:paraId="2659FD06" w14:textId="77777777" w:rsidR="005B7578" w:rsidRDefault="005B7578" w:rsidP="005B7578">
      <w:pPr>
        <w:pBdr>
          <w:bottom w:val="single" w:sz="2" w:space="3" w:color="D4B8C8"/>
        </w:pBdr>
        <w:spacing w:before="160" w:after="60"/>
        <w:rPr>
          <w:rFonts w:ascii="Arial" w:eastAsia="Arial" w:hAnsi="Arial" w:cs="Arial"/>
          <w:b/>
          <w:bCs/>
          <w:color w:val="5B1F4A"/>
          <w:sz w:val="21"/>
          <w:szCs w:val="21"/>
        </w:rPr>
        <w:sectPr w:rsidR="005B7578" w:rsidSect="005B7578">
          <w:type w:val="continuous"/>
          <w:pgSz w:w="12240" w:h="15840"/>
          <w:pgMar w:top="1080" w:right="1080" w:bottom="1080" w:left="1080" w:header="708" w:footer="708" w:gutter="0"/>
          <w:cols w:num="2" w:space="720"/>
          <w:docGrid w:linePitch="360"/>
        </w:sectPr>
      </w:pPr>
    </w:p>
    <w:p w14:paraId="654CA69E" w14:textId="77777777" w:rsidR="005B7578" w:rsidRDefault="005B7578" w:rsidP="005B7578">
      <w:pPr>
        <w:pBdr>
          <w:bottom w:val="single" w:sz="2" w:space="3" w:color="D4B8C8"/>
        </w:pBdr>
        <w:spacing w:before="160" w:after="60"/>
      </w:pPr>
      <w:r>
        <w:rPr>
          <w:rFonts w:ascii="Arial" w:eastAsia="Arial" w:hAnsi="Arial" w:cs="Arial"/>
          <w:b/>
          <w:bCs/>
          <w:color w:val="5B1F4A"/>
          <w:sz w:val="21"/>
          <w:szCs w:val="21"/>
        </w:rPr>
        <w:t>How It’s Used</w:t>
      </w:r>
    </w:p>
    <w:p w14:paraId="48A0FAA0" w14:textId="77777777" w:rsidR="005B7578" w:rsidRDefault="005B7578" w:rsidP="005B7578">
      <w:pPr>
        <w:pStyle w:val="ListParagraph"/>
        <w:numPr>
          <w:ilvl w:val="0"/>
          <w:numId w:val="1"/>
        </w:numPr>
        <w:spacing w:after="60"/>
        <w:contextualSpacing w:val="0"/>
        <w:rPr>
          <w:rFonts w:ascii="Arial" w:eastAsia="Arial" w:hAnsi="Arial" w:cs="Arial"/>
          <w:color w:val="555555"/>
        </w:rPr>
        <w:sectPr w:rsidR="005B7578" w:rsidSect="005B7578">
          <w:type w:val="continuous"/>
          <w:pgSz w:w="12240" w:h="15840"/>
          <w:pgMar w:top="1080" w:right="1080" w:bottom="1080" w:left="1080" w:header="708" w:footer="708" w:gutter="0"/>
          <w:cols w:space="720"/>
          <w:docGrid w:linePitch="360"/>
        </w:sectPr>
      </w:pPr>
    </w:p>
    <w:p w14:paraId="62BBB64C" w14:textId="77777777" w:rsidR="005B7578" w:rsidRDefault="005B7578" w:rsidP="005B7578">
      <w:pPr>
        <w:pStyle w:val="ListParagraph"/>
        <w:numPr>
          <w:ilvl w:val="0"/>
          <w:numId w:val="1"/>
        </w:numPr>
        <w:spacing w:after="60"/>
        <w:contextualSpacing w:val="0"/>
      </w:pPr>
      <w:r>
        <w:rPr>
          <w:rFonts w:ascii="Arial" w:eastAsia="Arial" w:hAnsi="Arial" w:cs="Arial"/>
          <w:color w:val="555555"/>
        </w:rPr>
        <w:t>Personal self-assessments, ongoing awareness</w:t>
      </w:r>
    </w:p>
    <w:p w14:paraId="564D6A35" w14:textId="77777777" w:rsidR="005B7578" w:rsidRDefault="005B7578" w:rsidP="005B7578">
      <w:pPr>
        <w:pStyle w:val="ListParagraph"/>
        <w:numPr>
          <w:ilvl w:val="0"/>
          <w:numId w:val="1"/>
        </w:numPr>
        <w:spacing w:after="60"/>
        <w:contextualSpacing w:val="0"/>
      </w:pPr>
      <w:r>
        <w:rPr>
          <w:rFonts w:ascii="Arial" w:eastAsia="Arial" w:hAnsi="Arial" w:cs="Arial"/>
          <w:color w:val="555555"/>
        </w:rPr>
        <w:t>Couple check-ins, guided or independent</w:t>
      </w:r>
    </w:p>
    <w:p w14:paraId="72F062F8" w14:textId="77777777" w:rsidR="005B7578" w:rsidRDefault="005B7578" w:rsidP="005B7578">
      <w:pPr>
        <w:pStyle w:val="ListParagraph"/>
        <w:numPr>
          <w:ilvl w:val="0"/>
          <w:numId w:val="1"/>
        </w:numPr>
        <w:spacing w:after="60"/>
        <w:contextualSpacing w:val="0"/>
      </w:pPr>
      <w:r>
        <w:rPr>
          <w:rFonts w:ascii="Arial" w:eastAsia="Arial" w:hAnsi="Arial" w:cs="Arial"/>
          <w:color w:val="555555"/>
        </w:rPr>
        <w:t>Coaching and therapy support tool</w:t>
      </w:r>
    </w:p>
    <w:p w14:paraId="0B11BDA2" w14:textId="77777777" w:rsidR="005B7578" w:rsidRDefault="005B7578" w:rsidP="005B7578">
      <w:pPr>
        <w:pStyle w:val="ListParagraph"/>
        <w:numPr>
          <w:ilvl w:val="0"/>
          <w:numId w:val="1"/>
        </w:numPr>
        <w:spacing w:after="60"/>
        <w:contextualSpacing w:val="0"/>
      </w:pPr>
      <w:r>
        <w:rPr>
          <w:rFonts w:ascii="Arial" w:eastAsia="Arial" w:hAnsi="Arial" w:cs="Arial"/>
          <w:color w:val="555555"/>
        </w:rPr>
        <w:t>Decision-making during major transitions</w:t>
      </w:r>
    </w:p>
    <w:p w14:paraId="42A494F1" w14:textId="77777777" w:rsidR="005B7578" w:rsidRDefault="005B7578" w:rsidP="005B7578">
      <w:pPr>
        <w:pStyle w:val="ListParagraph"/>
        <w:numPr>
          <w:ilvl w:val="0"/>
          <w:numId w:val="1"/>
        </w:numPr>
        <w:spacing w:after="60"/>
        <w:contextualSpacing w:val="0"/>
      </w:pPr>
      <w:r>
        <w:rPr>
          <w:rFonts w:ascii="Arial" w:eastAsia="Arial" w:hAnsi="Arial" w:cs="Arial"/>
          <w:color w:val="555555"/>
        </w:rPr>
        <w:t>Abuse pattern recognition and documentation</w:t>
      </w:r>
    </w:p>
    <w:p w14:paraId="3EF2B805" w14:textId="77777777" w:rsidR="005B7578" w:rsidRDefault="005B7578" w:rsidP="005B7578">
      <w:pPr>
        <w:pStyle w:val="ListParagraph"/>
        <w:numPr>
          <w:ilvl w:val="0"/>
          <w:numId w:val="1"/>
        </w:numPr>
        <w:spacing w:after="60"/>
        <w:contextualSpacing w:val="0"/>
      </w:pPr>
      <w:r>
        <w:rPr>
          <w:rFonts w:ascii="Arial" w:eastAsia="Arial" w:hAnsi="Arial" w:cs="Arial"/>
          <w:color w:val="555555"/>
        </w:rPr>
        <w:t>Crisis support and routing</w:t>
      </w:r>
    </w:p>
    <w:p w14:paraId="008A62D3" w14:textId="77777777" w:rsidR="005B7578" w:rsidRDefault="005B7578" w:rsidP="005B7578">
      <w:pPr>
        <w:pBdr>
          <w:bottom w:val="single" w:sz="2" w:space="3" w:color="D4B8C8"/>
        </w:pBdr>
        <w:spacing w:before="160" w:after="60"/>
        <w:rPr>
          <w:rFonts w:ascii="Arial" w:eastAsia="Arial" w:hAnsi="Arial" w:cs="Arial"/>
          <w:b/>
          <w:bCs/>
          <w:color w:val="5B1F4A"/>
          <w:sz w:val="21"/>
          <w:szCs w:val="21"/>
        </w:rPr>
        <w:sectPr w:rsidR="005B7578" w:rsidSect="005B7578">
          <w:type w:val="continuous"/>
          <w:pgSz w:w="12240" w:h="15840"/>
          <w:pgMar w:top="1080" w:right="1080" w:bottom="1080" w:left="1080" w:header="708" w:footer="708" w:gutter="0"/>
          <w:cols w:num="2" w:space="720"/>
          <w:docGrid w:linePitch="360"/>
        </w:sectPr>
      </w:pPr>
    </w:p>
    <w:p w14:paraId="57FDE54F" w14:textId="77777777" w:rsidR="005B7578" w:rsidRDefault="005B7578" w:rsidP="005B7578">
      <w:pPr>
        <w:pBdr>
          <w:bottom w:val="single" w:sz="2" w:space="3" w:color="D4B8C8"/>
        </w:pBdr>
        <w:spacing w:before="160" w:after="60"/>
      </w:pPr>
      <w:r>
        <w:rPr>
          <w:rFonts w:ascii="Arial" w:eastAsia="Arial" w:hAnsi="Arial" w:cs="Arial"/>
          <w:b/>
          <w:bCs/>
          <w:color w:val="5B1F4A"/>
          <w:sz w:val="21"/>
          <w:szCs w:val="21"/>
        </w:rPr>
        <w:t>Who It’s For</w:t>
      </w:r>
    </w:p>
    <w:p w14:paraId="4252EB6E" w14:textId="77777777" w:rsidR="005B7578" w:rsidRDefault="005B7578" w:rsidP="005B7578">
      <w:pPr>
        <w:pStyle w:val="ListParagraph"/>
        <w:numPr>
          <w:ilvl w:val="0"/>
          <w:numId w:val="1"/>
        </w:numPr>
        <w:spacing w:after="60"/>
        <w:contextualSpacing w:val="0"/>
        <w:rPr>
          <w:rFonts w:ascii="Arial" w:eastAsia="Arial" w:hAnsi="Arial" w:cs="Arial"/>
          <w:color w:val="555555"/>
        </w:rPr>
        <w:sectPr w:rsidR="005B7578" w:rsidSect="005B7578">
          <w:type w:val="continuous"/>
          <w:pgSz w:w="12240" w:h="15840"/>
          <w:pgMar w:top="1080" w:right="1080" w:bottom="1080" w:left="1080" w:header="708" w:footer="708" w:gutter="0"/>
          <w:cols w:space="720"/>
          <w:docGrid w:linePitch="360"/>
        </w:sectPr>
      </w:pPr>
    </w:p>
    <w:p w14:paraId="021EB734" w14:textId="77777777" w:rsidR="005B7578" w:rsidRDefault="005B7578" w:rsidP="005B7578">
      <w:pPr>
        <w:pStyle w:val="ListParagraph"/>
        <w:numPr>
          <w:ilvl w:val="0"/>
          <w:numId w:val="1"/>
        </w:numPr>
        <w:spacing w:after="60"/>
        <w:contextualSpacing w:val="0"/>
      </w:pPr>
      <w:r>
        <w:rPr>
          <w:rFonts w:ascii="Arial" w:eastAsia="Arial" w:hAnsi="Arial" w:cs="Arial"/>
          <w:color w:val="555555"/>
        </w:rPr>
        <w:t>Couples in early or transitional stages</w:t>
      </w:r>
    </w:p>
    <w:p w14:paraId="6F66EA01" w14:textId="77777777" w:rsidR="005B7578" w:rsidRDefault="005B7578" w:rsidP="005B7578">
      <w:pPr>
        <w:pStyle w:val="ListParagraph"/>
        <w:numPr>
          <w:ilvl w:val="0"/>
          <w:numId w:val="1"/>
        </w:numPr>
        <w:spacing w:after="60"/>
        <w:contextualSpacing w:val="0"/>
      </w:pPr>
      <w:r>
        <w:rPr>
          <w:rFonts w:ascii="Arial" w:eastAsia="Arial" w:hAnsi="Arial" w:cs="Arial"/>
          <w:color w:val="555555"/>
        </w:rPr>
        <w:t>Survivors rebuilding trust and safety awareness</w:t>
      </w:r>
    </w:p>
    <w:p w14:paraId="5A2C1755" w14:textId="77777777" w:rsidR="005B7578" w:rsidRDefault="005B7578" w:rsidP="005B7578">
      <w:pPr>
        <w:pStyle w:val="ListParagraph"/>
        <w:numPr>
          <w:ilvl w:val="0"/>
          <w:numId w:val="1"/>
        </w:numPr>
        <w:spacing w:after="60"/>
        <w:contextualSpacing w:val="0"/>
      </w:pPr>
      <w:r>
        <w:rPr>
          <w:rFonts w:ascii="Arial" w:eastAsia="Arial" w:hAnsi="Arial" w:cs="Arial"/>
          <w:color w:val="555555"/>
        </w:rPr>
        <w:t>Coaches, therapists, and educators</w:t>
      </w:r>
    </w:p>
    <w:p w14:paraId="68880918" w14:textId="77777777" w:rsidR="005B7578" w:rsidRDefault="005B7578" w:rsidP="005B7578">
      <w:pPr>
        <w:pStyle w:val="ListParagraph"/>
        <w:numPr>
          <w:ilvl w:val="0"/>
          <w:numId w:val="1"/>
        </w:numPr>
        <w:spacing w:after="60"/>
        <w:contextualSpacing w:val="0"/>
      </w:pPr>
      <w:r>
        <w:rPr>
          <w:rFonts w:ascii="Arial" w:eastAsia="Arial" w:hAnsi="Arial" w:cs="Arial"/>
          <w:color w:val="555555"/>
        </w:rPr>
        <w:t>Personal development communities</w:t>
      </w:r>
    </w:p>
    <w:p w14:paraId="45D1C92A" w14:textId="77777777" w:rsidR="005B7578" w:rsidRDefault="005B7578" w:rsidP="005B7578">
      <w:pPr>
        <w:pStyle w:val="ListParagraph"/>
        <w:numPr>
          <w:ilvl w:val="0"/>
          <w:numId w:val="1"/>
        </w:numPr>
        <w:spacing w:after="60"/>
        <w:contextualSpacing w:val="0"/>
      </w:pPr>
      <w:r>
        <w:rPr>
          <w:rFonts w:ascii="Arial" w:eastAsia="Arial" w:hAnsi="Arial" w:cs="Arial"/>
          <w:color w:val="555555"/>
        </w:rPr>
        <w:t>Dating platforms and apps</w:t>
      </w:r>
    </w:p>
    <w:p w14:paraId="1C1F3C3B" w14:textId="77777777" w:rsidR="005B7578" w:rsidRDefault="005B7578" w:rsidP="005B7578">
      <w:pPr>
        <w:pStyle w:val="ListParagraph"/>
        <w:numPr>
          <w:ilvl w:val="0"/>
          <w:numId w:val="1"/>
        </w:numPr>
        <w:spacing w:after="60"/>
        <w:contextualSpacing w:val="0"/>
      </w:pPr>
      <w:r>
        <w:rPr>
          <w:rFonts w:ascii="Arial" w:eastAsia="Arial" w:hAnsi="Arial" w:cs="Arial"/>
          <w:color w:val="555555"/>
        </w:rPr>
        <w:t>Group facilitators and workshop leaders</w:t>
      </w:r>
    </w:p>
    <w:p w14:paraId="75567374" w14:textId="77777777" w:rsidR="005B7578" w:rsidRDefault="005B7578" w:rsidP="005B7578">
      <w:pPr>
        <w:pStyle w:val="ListParagraph"/>
        <w:numPr>
          <w:ilvl w:val="0"/>
          <w:numId w:val="1"/>
        </w:numPr>
        <w:spacing w:after="60"/>
        <w:contextualSpacing w:val="0"/>
      </w:pPr>
      <w:r>
        <w:rPr>
          <w:rFonts w:ascii="Arial" w:eastAsia="Arial" w:hAnsi="Arial" w:cs="Arial"/>
          <w:color w:val="555555"/>
        </w:rPr>
        <w:t>Navigating any relationship: work, school, family</w:t>
      </w:r>
    </w:p>
    <w:p w14:paraId="1098290C" w14:textId="77777777" w:rsidR="005B7578" w:rsidRDefault="005B7578" w:rsidP="005B7578">
      <w:pPr>
        <w:pBdr>
          <w:bottom w:val="single" w:sz="2" w:space="3" w:color="D4B8C8"/>
        </w:pBdr>
        <w:spacing w:before="160" w:after="60"/>
        <w:rPr>
          <w:rFonts w:ascii="Arial" w:eastAsia="Arial" w:hAnsi="Arial" w:cs="Arial"/>
          <w:b/>
          <w:bCs/>
          <w:color w:val="5B1F4A"/>
          <w:sz w:val="21"/>
          <w:szCs w:val="21"/>
        </w:rPr>
        <w:sectPr w:rsidR="005B7578" w:rsidSect="005B7578">
          <w:type w:val="continuous"/>
          <w:pgSz w:w="12240" w:h="15840"/>
          <w:pgMar w:top="1080" w:right="1080" w:bottom="1080" w:left="1080" w:header="708" w:footer="708" w:gutter="0"/>
          <w:cols w:num="2" w:space="720"/>
          <w:docGrid w:linePitch="360"/>
        </w:sectPr>
      </w:pPr>
    </w:p>
    <w:p w14:paraId="386B673C" w14:textId="7F95CE3E" w:rsidR="005B7578" w:rsidRDefault="005B7578" w:rsidP="005B7578">
      <w:pPr>
        <w:pBdr>
          <w:bottom w:val="single" w:sz="2" w:space="3" w:color="D4B8C8"/>
        </w:pBdr>
        <w:spacing w:before="160" w:after="60"/>
      </w:pPr>
      <w:r>
        <w:rPr>
          <w:rFonts w:ascii="Arial" w:eastAsia="Arial" w:hAnsi="Arial" w:cs="Arial"/>
          <w:b/>
          <w:bCs/>
          <w:color w:val="5B1F4A"/>
          <w:sz w:val="21"/>
          <w:szCs w:val="21"/>
        </w:rPr>
        <w:t>Unique Edge</w:t>
      </w:r>
    </w:p>
    <w:p w14:paraId="0B643347" w14:textId="77777777" w:rsidR="005B7578" w:rsidRDefault="005B7578" w:rsidP="005B7578">
      <w:pPr>
        <w:pStyle w:val="ListParagraph"/>
        <w:numPr>
          <w:ilvl w:val="0"/>
          <w:numId w:val="1"/>
        </w:numPr>
        <w:spacing w:after="60"/>
        <w:contextualSpacing w:val="0"/>
      </w:pPr>
      <w:r>
        <w:rPr>
          <w:rFonts w:ascii="Arial" w:eastAsia="Arial" w:hAnsi="Arial" w:cs="Arial"/>
          <w:color w:val="555555"/>
        </w:rPr>
        <w:t>Combines trauma-awareness with strategy — not clinical labels</w:t>
      </w:r>
    </w:p>
    <w:p w14:paraId="1E0FF367" w14:textId="77777777" w:rsidR="005B7578" w:rsidRDefault="005B7578" w:rsidP="005B7578">
      <w:pPr>
        <w:pStyle w:val="ListParagraph"/>
        <w:numPr>
          <w:ilvl w:val="0"/>
          <w:numId w:val="1"/>
        </w:numPr>
        <w:spacing w:after="60"/>
        <w:contextualSpacing w:val="0"/>
      </w:pPr>
      <w:r>
        <w:rPr>
          <w:rFonts w:ascii="Arial" w:eastAsia="Arial" w:hAnsi="Arial" w:cs="Arial"/>
          <w:color w:val="555555"/>
        </w:rPr>
        <w:t>Uses Hero’s Journey framing instead of clinical or diagnostic language</w:t>
      </w:r>
    </w:p>
    <w:p w14:paraId="64F96A44" w14:textId="77777777" w:rsidR="005B7578" w:rsidRDefault="005B7578" w:rsidP="005B7578">
      <w:pPr>
        <w:pStyle w:val="ListParagraph"/>
        <w:numPr>
          <w:ilvl w:val="0"/>
          <w:numId w:val="1"/>
        </w:numPr>
        <w:spacing w:after="60"/>
        <w:contextualSpacing w:val="0"/>
      </w:pPr>
      <w:r>
        <w:rPr>
          <w:rFonts w:ascii="Arial" w:eastAsia="Arial" w:hAnsi="Arial" w:cs="Arial"/>
          <w:color w:val="555555"/>
        </w:rPr>
        <w:t>Bridges self-awareness, relationship dynamics, and system patterns simultaneously</w:t>
      </w:r>
    </w:p>
    <w:p w14:paraId="4F6EA737" w14:textId="77777777" w:rsidR="005B7578" w:rsidRDefault="005B7578" w:rsidP="005B7578">
      <w:pPr>
        <w:pStyle w:val="ListParagraph"/>
        <w:numPr>
          <w:ilvl w:val="0"/>
          <w:numId w:val="1"/>
        </w:numPr>
        <w:spacing w:after="60"/>
        <w:contextualSpacing w:val="0"/>
      </w:pPr>
      <w:r>
        <w:rPr>
          <w:rFonts w:ascii="Arial" w:eastAsia="Arial" w:hAnsi="Arial" w:cs="Arial"/>
          <w:color w:val="555555"/>
        </w:rPr>
        <w:t>Moves beyond venting into decisive, aligned action</w:t>
      </w:r>
    </w:p>
    <w:p w14:paraId="6311D420" w14:textId="77777777" w:rsidR="005B7578" w:rsidRDefault="005B7578" w:rsidP="005B7578">
      <w:pPr>
        <w:pStyle w:val="ListParagraph"/>
        <w:numPr>
          <w:ilvl w:val="0"/>
          <w:numId w:val="1"/>
        </w:numPr>
        <w:spacing w:after="60"/>
        <w:contextualSpacing w:val="0"/>
      </w:pPr>
      <w:r>
        <w:rPr>
          <w:rFonts w:ascii="Arial" w:eastAsia="Arial" w:hAnsi="Arial" w:cs="Arial"/>
          <w:color w:val="555555"/>
        </w:rPr>
        <w:t>Two versions serve two populations with different needs from one integrated system</w:t>
      </w:r>
    </w:p>
    <w:p w14:paraId="3E03C616" w14:textId="77777777" w:rsidR="005B7578" w:rsidRDefault="005B7578" w:rsidP="005B7578">
      <w:pPr>
        <w:pBdr>
          <w:bottom w:val="single" w:sz="2" w:space="3" w:color="D4B8C8"/>
        </w:pBdr>
        <w:spacing w:before="160" w:after="60"/>
      </w:pPr>
      <w:r>
        <w:rPr>
          <w:rFonts w:ascii="Arial" w:eastAsia="Arial" w:hAnsi="Arial" w:cs="Arial"/>
          <w:b/>
          <w:bCs/>
          <w:color w:val="5B1F4A"/>
          <w:sz w:val="21"/>
          <w:szCs w:val="21"/>
        </w:rPr>
        <w:t>Status</w:t>
      </w:r>
    </w:p>
    <w:p w14:paraId="31D31A80" w14:textId="77777777" w:rsidR="005B7578" w:rsidRDefault="005B7578" w:rsidP="005B7578">
      <w:pPr>
        <w:pStyle w:val="ListParagraph"/>
        <w:numPr>
          <w:ilvl w:val="0"/>
          <w:numId w:val="1"/>
        </w:numPr>
        <w:spacing w:after="60"/>
        <w:contextualSpacing w:val="0"/>
      </w:pPr>
      <w:r>
        <w:rPr>
          <w:rFonts w:ascii="Arial" w:eastAsia="Arial" w:hAnsi="Arial" w:cs="Arial"/>
          <w:color w:val="555555"/>
        </w:rPr>
        <w:t xml:space="preserve">Framework active inside the </w:t>
      </w:r>
      <w:proofErr w:type="spellStart"/>
      <w:r>
        <w:rPr>
          <w:rFonts w:ascii="Arial" w:eastAsia="Arial" w:hAnsi="Arial" w:cs="Arial"/>
          <w:color w:val="555555"/>
        </w:rPr>
        <w:t>Intimology</w:t>
      </w:r>
      <w:proofErr w:type="spellEnd"/>
      <w:r>
        <w:rPr>
          <w:rFonts w:ascii="Arial" w:eastAsia="Arial" w:hAnsi="Arial" w:cs="Arial"/>
          <w:color w:val="555555"/>
        </w:rPr>
        <w:t xml:space="preserve"> curriculum</w:t>
      </w:r>
    </w:p>
    <w:p w14:paraId="0AAC788B" w14:textId="77777777" w:rsidR="005B7578" w:rsidRDefault="005B7578" w:rsidP="005B7578">
      <w:pPr>
        <w:pStyle w:val="ListParagraph"/>
        <w:numPr>
          <w:ilvl w:val="0"/>
          <w:numId w:val="1"/>
        </w:numPr>
        <w:spacing w:after="60"/>
        <w:contextualSpacing w:val="0"/>
      </w:pPr>
      <w:r>
        <w:rPr>
          <w:rFonts w:ascii="Arial" w:eastAsia="Arial" w:hAnsi="Arial" w:cs="Arial"/>
          <w:color w:val="555555"/>
        </w:rPr>
        <w:t>Possible licensing for therapists, coaches, platforms</w:t>
      </w:r>
    </w:p>
    <w:p w14:paraId="15993062" w14:textId="77777777" w:rsidR="005B7578" w:rsidRDefault="005B7578" w:rsidP="005B7578">
      <w:pPr>
        <w:pStyle w:val="ListParagraph"/>
        <w:numPr>
          <w:ilvl w:val="0"/>
          <w:numId w:val="1"/>
        </w:numPr>
        <w:spacing w:after="60"/>
        <w:contextualSpacing w:val="0"/>
      </w:pPr>
      <w:r>
        <w:rPr>
          <w:rFonts w:ascii="Arial" w:eastAsia="Arial" w:hAnsi="Arial" w:cs="Arial"/>
          <w:color w:val="555555"/>
        </w:rPr>
        <w:t>Seeking integration and pilot partners</w:t>
      </w:r>
    </w:p>
    <w:p w14:paraId="4085B6DA" w14:textId="77777777" w:rsidR="0000632F" w:rsidRDefault="0000632F"/>
    <w:sectPr w:rsidR="0000632F" w:rsidSect="005B7578">
      <w:type w:val="continuous"/>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8FFDF" w14:textId="77777777" w:rsidR="005B7578" w:rsidRDefault="005B7578" w:rsidP="00546B0E">
    <w:pPr>
      <w:pBdr>
        <w:top w:val="single" w:sz="3" w:space="4" w:color="C8A96E"/>
      </w:pBdr>
      <w:spacing w:before="120"/>
      <w:jc w:val="center"/>
    </w:pPr>
    <w:proofErr w:type="gramStart"/>
    <w:r>
      <w:rPr>
        <w:rFonts w:ascii="Arial" w:eastAsia="Arial" w:hAnsi="Arial" w:cs="Arial"/>
        <w:color w:val="555555"/>
        <w:sz w:val="17"/>
        <w:szCs w:val="17"/>
      </w:rPr>
      <w:t>intimology.org  |</w:t>
    </w:r>
    <w:proofErr w:type="gramEnd"/>
    <w:r>
      <w:rPr>
        <w:rFonts w:ascii="Arial" w:eastAsia="Arial" w:hAnsi="Arial" w:cs="Arial"/>
        <w:color w:val="555555"/>
        <w:sz w:val="17"/>
        <w:szCs w:val="17"/>
      </w:rPr>
      <w:t xml:space="preserve">  </w:t>
    </w:r>
    <w:proofErr w:type="gramStart"/>
    <w:r>
      <w:rPr>
        <w:rFonts w:ascii="Arial" w:eastAsia="Arial" w:hAnsi="Arial" w:cs="Arial"/>
        <w:color w:val="555555"/>
        <w:sz w:val="17"/>
        <w:szCs w:val="17"/>
      </w:rPr>
      <w:t>ask@intimology.org  |</w:t>
    </w:r>
    <w:proofErr w:type="gramEnd"/>
    <w:r>
      <w:rPr>
        <w:rFonts w:ascii="Arial" w:eastAsia="Arial" w:hAnsi="Arial" w:cs="Arial"/>
        <w:color w:val="555555"/>
        <w:sz w:val="17"/>
        <w:szCs w:val="17"/>
      </w:rPr>
      <w:t xml:space="preserve">  </w:t>
    </w:r>
    <w:proofErr w:type="gramStart"/>
    <w:r>
      <w:rPr>
        <w:rFonts w:ascii="Arial" w:eastAsia="Arial" w:hAnsi="Arial" w:cs="Arial"/>
        <w:color w:val="555555"/>
        <w:sz w:val="17"/>
        <w:szCs w:val="17"/>
      </w:rPr>
      <w:t>sexess.org  |</w:t>
    </w:r>
    <w:proofErr w:type="gramEnd"/>
    <w:r>
      <w:rPr>
        <w:rFonts w:ascii="Arial" w:eastAsia="Arial" w:hAnsi="Arial" w:cs="Arial"/>
        <w:color w:val="555555"/>
        <w:sz w:val="17"/>
        <w:szCs w:val="17"/>
      </w:rPr>
      <w:t xml:space="preserve">  </w:t>
    </w:r>
    <w:proofErr w:type="gramStart"/>
    <w:r>
      <w:rPr>
        <w:rFonts w:ascii="Arial" w:eastAsia="Arial" w:hAnsi="Arial" w:cs="Arial"/>
        <w:color w:val="555555"/>
        <w:sz w:val="17"/>
        <w:szCs w:val="17"/>
      </w:rPr>
      <w:t>ask@sexess.org  |</w:t>
    </w:r>
    <w:proofErr w:type="gramEnd"/>
    <w:r>
      <w:rPr>
        <w:rFonts w:ascii="Arial" w:eastAsia="Arial" w:hAnsi="Arial" w:cs="Arial"/>
        <w:color w:val="555555"/>
        <w:sz w:val="17"/>
        <w:szCs w:val="17"/>
      </w:rPr>
      <w:t xml:space="preserve">  509-383-</w:t>
    </w:r>
    <w:proofErr w:type="gramStart"/>
    <w:r>
      <w:rPr>
        <w:rFonts w:ascii="Arial" w:eastAsia="Arial" w:hAnsi="Arial" w:cs="Arial"/>
        <w:color w:val="555555"/>
        <w:sz w:val="17"/>
        <w:szCs w:val="17"/>
      </w:rPr>
      <w:t>8380  |</w:t>
    </w:r>
    <w:proofErr w:type="gramEnd"/>
    <w:r>
      <w:rPr>
        <w:rFonts w:ascii="Arial" w:eastAsia="Arial" w:hAnsi="Arial" w:cs="Arial"/>
        <w:color w:val="555555"/>
        <w:sz w:val="17"/>
        <w:szCs w:val="17"/>
      </w:rPr>
      <w:t xml:space="preserve">  EIN #88-3785162</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E8CF" w14:textId="77777777" w:rsidR="005B7578" w:rsidRDefault="005B7578" w:rsidP="009B1C6E">
    <w:pPr>
      <w:pBdr>
        <w:bottom w:val="single" w:sz="4" w:space="4" w:color="C8A96E"/>
      </w:pBdr>
      <w:spacing w:after="120"/>
    </w:pPr>
    <w:proofErr w:type="spellStart"/>
    <w:r>
      <w:rPr>
        <w:rFonts w:ascii="Arial" w:eastAsia="Arial" w:hAnsi="Arial" w:cs="Arial"/>
        <w:color w:val="555555"/>
        <w:sz w:val="18"/>
        <w:szCs w:val="18"/>
      </w:rPr>
      <w:t>Intimology</w:t>
    </w:r>
    <w:proofErr w:type="spellEnd"/>
    <w:r>
      <w:rPr>
        <w:rFonts w:ascii="Arial" w:eastAsia="Arial" w:hAnsi="Arial" w:cs="Arial"/>
        <w:color w:val="555555"/>
        <w:sz w:val="18"/>
        <w:szCs w:val="18"/>
      </w:rPr>
      <w:t xml:space="preserve"> </w:t>
    </w:r>
    <w:proofErr w:type="gramStart"/>
    <w:r>
      <w:rPr>
        <w:rFonts w:ascii="Arial" w:eastAsia="Arial" w:hAnsi="Arial" w:cs="Arial"/>
        <w:color w:val="555555"/>
        <w:sz w:val="18"/>
        <w:szCs w:val="18"/>
      </w:rPr>
      <w:t>Resource  |</w:t>
    </w:r>
    <w:proofErr w:type="gramEnd"/>
    <w:r>
      <w:rPr>
        <w:rFonts w:ascii="Arial" w:eastAsia="Arial" w:hAnsi="Arial" w:cs="Arial"/>
        <w:color w:val="555555"/>
        <w:sz w:val="18"/>
        <w:szCs w:val="18"/>
      </w:rPr>
      <w:t xml:space="preserve">  501(c)(3</w:t>
    </w:r>
    <w:proofErr w:type="gramStart"/>
    <w:r>
      <w:rPr>
        <w:rFonts w:ascii="Arial" w:eastAsia="Arial" w:hAnsi="Arial" w:cs="Arial"/>
        <w:color w:val="555555"/>
        <w:sz w:val="18"/>
        <w:szCs w:val="18"/>
      </w:rPr>
      <w:t>)  |</w:t>
    </w:r>
    <w:proofErr w:type="gramEnd"/>
    <w:r>
      <w:rPr>
        <w:rFonts w:ascii="Arial" w:eastAsia="Arial" w:hAnsi="Arial" w:cs="Arial"/>
        <w:color w:val="555555"/>
        <w:sz w:val="18"/>
        <w:szCs w:val="18"/>
      </w:rPr>
      <w:t xml:space="preserve">  EIN #88-</w:t>
    </w:r>
    <w:proofErr w:type="gramStart"/>
    <w:r>
      <w:rPr>
        <w:rFonts w:ascii="Arial" w:eastAsia="Arial" w:hAnsi="Arial" w:cs="Arial"/>
        <w:color w:val="555555"/>
        <w:sz w:val="18"/>
        <w:szCs w:val="18"/>
      </w:rPr>
      <w:t>3785162  |</w:t>
    </w:r>
    <w:proofErr w:type="gramEnd"/>
    <w:r>
      <w:rPr>
        <w:rFonts w:ascii="Arial" w:eastAsia="Arial" w:hAnsi="Arial" w:cs="Arial"/>
        <w:color w:val="555555"/>
        <w:sz w:val="18"/>
        <w:szCs w:val="18"/>
      </w:rPr>
      <w:t xml:space="preserve">  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032A7"/>
    <w:multiLevelType w:val="hybridMultilevel"/>
    <w:tmpl w:val="EF6EFF5A"/>
    <w:lvl w:ilvl="0" w:tplc="BD7CAFAC">
      <w:start w:val="1"/>
      <w:numFmt w:val="bullet"/>
      <w:lvlText w:val="•"/>
      <w:lvlJc w:val="left"/>
      <w:pPr>
        <w:ind w:left="360" w:hanging="360"/>
      </w:pPr>
    </w:lvl>
    <w:lvl w:ilvl="1" w:tplc="D1E2621A">
      <w:numFmt w:val="decimal"/>
      <w:lvlText w:val=""/>
      <w:lvlJc w:val="left"/>
    </w:lvl>
    <w:lvl w:ilvl="2" w:tplc="EFFC1B8A">
      <w:numFmt w:val="decimal"/>
      <w:lvlText w:val=""/>
      <w:lvlJc w:val="left"/>
    </w:lvl>
    <w:lvl w:ilvl="3" w:tplc="C7CEB076">
      <w:numFmt w:val="decimal"/>
      <w:lvlText w:val=""/>
      <w:lvlJc w:val="left"/>
    </w:lvl>
    <w:lvl w:ilvl="4" w:tplc="0EF2BE08">
      <w:numFmt w:val="decimal"/>
      <w:lvlText w:val=""/>
      <w:lvlJc w:val="left"/>
    </w:lvl>
    <w:lvl w:ilvl="5" w:tplc="CC52FDCC">
      <w:numFmt w:val="decimal"/>
      <w:lvlText w:val=""/>
      <w:lvlJc w:val="left"/>
    </w:lvl>
    <w:lvl w:ilvl="6" w:tplc="0750C7F4">
      <w:numFmt w:val="decimal"/>
      <w:lvlText w:val=""/>
      <w:lvlJc w:val="left"/>
    </w:lvl>
    <w:lvl w:ilvl="7" w:tplc="5A828DD0">
      <w:numFmt w:val="decimal"/>
      <w:lvlText w:val=""/>
      <w:lvlJc w:val="left"/>
    </w:lvl>
    <w:lvl w:ilvl="8" w:tplc="C9962FEE">
      <w:numFmt w:val="decimal"/>
      <w:lvlText w:val=""/>
      <w:lvlJc w:val="left"/>
    </w:lvl>
  </w:abstractNum>
  <w:num w:numId="1" w16cid:durableId="11194950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578"/>
    <w:rsid w:val="0000632F"/>
    <w:rsid w:val="003E33C5"/>
    <w:rsid w:val="005B7578"/>
    <w:rsid w:val="008C63BF"/>
    <w:rsid w:val="008F5CD8"/>
    <w:rsid w:val="00EB1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B7D56"/>
  <w15:chartTrackingRefBased/>
  <w15:docId w15:val="{29C49160-A748-4F88-A946-A2613EE64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57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5B75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75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75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75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75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75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75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5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5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5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75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75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75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5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75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5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5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578"/>
    <w:rPr>
      <w:rFonts w:eastAsiaTheme="majorEastAsia" w:cstheme="majorBidi"/>
      <w:color w:val="272727" w:themeColor="text1" w:themeTint="D8"/>
    </w:rPr>
  </w:style>
  <w:style w:type="paragraph" w:styleId="Title">
    <w:name w:val="Title"/>
    <w:basedOn w:val="Normal"/>
    <w:next w:val="Normal"/>
    <w:link w:val="TitleChar"/>
    <w:uiPriority w:val="10"/>
    <w:qFormat/>
    <w:rsid w:val="005B75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5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75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5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578"/>
    <w:pPr>
      <w:spacing w:before="160"/>
      <w:jc w:val="center"/>
    </w:pPr>
    <w:rPr>
      <w:i/>
      <w:iCs/>
      <w:color w:val="404040" w:themeColor="text1" w:themeTint="BF"/>
    </w:rPr>
  </w:style>
  <w:style w:type="character" w:customStyle="1" w:styleId="QuoteChar">
    <w:name w:val="Quote Char"/>
    <w:basedOn w:val="DefaultParagraphFont"/>
    <w:link w:val="Quote"/>
    <w:uiPriority w:val="29"/>
    <w:rsid w:val="005B7578"/>
    <w:rPr>
      <w:i/>
      <w:iCs/>
      <w:color w:val="404040" w:themeColor="text1" w:themeTint="BF"/>
    </w:rPr>
  </w:style>
  <w:style w:type="paragraph" w:styleId="ListParagraph">
    <w:name w:val="List Paragraph"/>
    <w:basedOn w:val="Normal"/>
    <w:qFormat/>
    <w:rsid w:val="005B7578"/>
    <w:pPr>
      <w:ind w:left="720"/>
      <w:contextualSpacing/>
    </w:pPr>
  </w:style>
  <w:style w:type="character" w:styleId="IntenseEmphasis">
    <w:name w:val="Intense Emphasis"/>
    <w:basedOn w:val="DefaultParagraphFont"/>
    <w:uiPriority w:val="21"/>
    <w:qFormat/>
    <w:rsid w:val="005B7578"/>
    <w:rPr>
      <w:i/>
      <w:iCs/>
      <w:color w:val="0F4761" w:themeColor="accent1" w:themeShade="BF"/>
    </w:rPr>
  </w:style>
  <w:style w:type="paragraph" w:styleId="IntenseQuote">
    <w:name w:val="Intense Quote"/>
    <w:basedOn w:val="Normal"/>
    <w:next w:val="Normal"/>
    <w:link w:val="IntenseQuoteChar"/>
    <w:uiPriority w:val="30"/>
    <w:qFormat/>
    <w:rsid w:val="005B75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7578"/>
    <w:rPr>
      <w:i/>
      <w:iCs/>
      <w:color w:val="0F4761" w:themeColor="accent1" w:themeShade="BF"/>
    </w:rPr>
  </w:style>
  <w:style w:type="character" w:styleId="IntenseReference">
    <w:name w:val="Intense Reference"/>
    <w:basedOn w:val="DefaultParagraphFont"/>
    <w:uiPriority w:val="32"/>
    <w:qFormat/>
    <w:rsid w:val="005B75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815</Words>
  <Characters>5040</Characters>
  <Application>Microsoft Office Word</Application>
  <DocSecurity>0</DocSecurity>
  <Lines>102</Lines>
  <Paragraphs>79</Paragraphs>
  <ScaleCrop>false</ScaleCrop>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oriana landt</dc:creator>
  <cp:keywords/>
  <dc:description/>
  <cp:lastModifiedBy>oriana landt</cp:lastModifiedBy>
  <cp:revision>2</cp:revision>
  <dcterms:created xsi:type="dcterms:W3CDTF">2026-06-25T06:03:00Z</dcterms:created>
  <dcterms:modified xsi:type="dcterms:W3CDTF">2026-06-25T06:04:00Z</dcterms:modified>
</cp:coreProperties>
</file>