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6CFD3" w14:textId="77777777" w:rsidR="00DB6CB3" w:rsidRPr="00DD675B" w:rsidRDefault="00DB6CB3" w:rsidP="00DB6CB3">
      <w:pPr>
        <w:spacing w:after="30"/>
        <w:rPr>
          <w:sz w:val="28"/>
          <w:szCs w:val="28"/>
        </w:rPr>
      </w:pPr>
      <w:r w:rsidRPr="00DD675B">
        <w:rPr>
          <w:rFonts w:ascii="Arial" w:eastAsia="Arial" w:hAnsi="Arial" w:cs="Arial"/>
          <w:b/>
          <w:bCs/>
          <w:color w:val="5B1F4A"/>
          <w:sz w:val="28"/>
          <w:szCs w:val="28"/>
        </w:rPr>
        <w:t>THE HERO’S RELATIONSHIP JOURNEY</w:t>
      </w:r>
    </w:p>
    <w:p w14:paraId="6DCFBBD3" w14:textId="77777777" w:rsidR="00DB6CB3" w:rsidRDefault="00DB6CB3" w:rsidP="00DB6CB3">
      <w:pPr>
        <w:spacing w:after="30"/>
      </w:pPr>
      <w:r>
        <w:rPr>
          <w:rFonts w:ascii="Arial" w:eastAsia="Arial" w:hAnsi="Arial" w:cs="Arial"/>
          <w:i/>
          <w:iCs/>
          <w:color w:val="C8A96E"/>
          <w:sz w:val="21"/>
          <w:szCs w:val="21"/>
        </w:rPr>
        <w:t>A 52-week structured relationship education curriculum</w:t>
      </w:r>
    </w:p>
    <w:p w14:paraId="55657640" w14:textId="77777777" w:rsidR="00DB6CB3" w:rsidRDefault="00DB6CB3" w:rsidP="00DB6CB3">
      <w:pPr>
        <w:pBdr>
          <w:bottom w:val="single" w:sz="4" w:space="4" w:color="C8A96E"/>
        </w:pBdr>
        <w:spacing w:after="120"/>
      </w:pPr>
      <w:r>
        <w:rPr>
          <w:rFonts w:ascii="Arial" w:eastAsia="Arial" w:hAnsi="Arial" w:cs="Arial"/>
          <w:color w:val="555555"/>
          <w:sz w:val="18"/>
          <w:szCs w:val="18"/>
        </w:rPr>
        <w:t xml:space="preserve">Delivered through </w:t>
      </w:r>
      <w:proofErr w:type="spellStart"/>
      <w:r>
        <w:rPr>
          <w:rFonts w:ascii="Arial" w:eastAsia="Arial" w:hAnsi="Arial" w:cs="Arial"/>
          <w:color w:val="555555"/>
          <w:sz w:val="18"/>
          <w:szCs w:val="18"/>
        </w:rPr>
        <w:t>Intimology</w:t>
      </w:r>
      <w:proofErr w:type="spellEnd"/>
      <w:r>
        <w:rPr>
          <w:rFonts w:ascii="Arial" w:eastAsia="Arial" w:hAnsi="Arial" w:cs="Arial"/>
          <w:color w:val="555555"/>
          <w:sz w:val="18"/>
          <w:szCs w:val="18"/>
        </w:rPr>
        <w:t xml:space="preserve"> — the education division of </w:t>
      </w:r>
      <w:proofErr w:type="gramStart"/>
      <w:r>
        <w:rPr>
          <w:rFonts w:ascii="Arial" w:eastAsia="Arial" w:hAnsi="Arial" w:cs="Arial"/>
          <w:color w:val="555555"/>
          <w:sz w:val="18"/>
          <w:szCs w:val="18"/>
        </w:rPr>
        <w:t>Sexess  |</w:t>
      </w:r>
      <w:proofErr w:type="gramEnd"/>
      <w:r>
        <w:rPr>
          <w:rFonts w:ascii="Arial" w:eastAsia="Arial" w:hAnsi="Arial" w:cs="Arial"/>
          <w:color w:val="555555"/>
          <w:sz w:val="18"/>
          <w:szCs w:val="18"/>
        </w:rPr>
        <w:t xml:space="preserve">  501(c)(3</w:t>
      </w:r>
      <w:proofErr w:type="gramStart"/>
      <w:r>
        <w:rPr>
          <w:rFonts w:ascii="Arial" w:eastAsia="Arial" w:hAnsi="Arial" w:cs="Arial"/>
          <w:color w:val="555555"/>
          <w:sz w:val="18"/>
          <w:szCs w:val="18"/>
        </w:rPr>
        <w:t>)  |</w:t>
      </w:r>
      <w:proofErr w:type="gramEnd"/>
      <w:r>
        <w:rPr>
          <w:rFonts w:ascii="Arial" w:eastAsia="Arial" w:hAnsi="Arial" w:cs="Arial"/>
          <w:color w:val="555555"/>
          <w:sz w:val="18"/>
          <w:szCs w:val="18"/>
        </w:rPr>
        <w:t xml:space="preserve">  EIN #88-3785162</w:t>
      </w:r>
    </w:p>
    <w:p w14:paraId="307664F8" w14:textId="77777777" w:rsidR="00DB6CB3" w:rsidRDefault="00DB6CB3" w:rsidP="00DB6CB3">
      <w:pPr>
        <w:spacing w:after="60"/>
      </w:pPr>
      <w:r>
        <w:rPr>
          <w:rFonts w:ascii="Arial" w:eastAsia="Arial" w:hAnsi="Arial" w:cs="Arial"/>
          <w:b/>
          <w:bCs/>
          <w:color w:val="5B1F4A"/>
          <w:sz w:val="21"/>
          <w:szCs w:val="21"/>
        </w:rPr>
        <w:t>Why the Hero’s Journey?</w:t>
      </w:r>
      <w:r w:rsidRPr="00E133ED">
        <w:rPr>
          <w:rFonts w:ascii="Arial" w:eastAsia="Arial" w:hAnsi="Arial" w:cs="Arial"/>
          <w:i/>
          <w:iCs/>
          <w:color w:val="5B1F4A"/>
        </w:rPr>
        <w:t xml:space="preserve"> </w:t>
      </w:r>
      <w:r>
        <w:rPr>
          <w:rFonts w:ascii="Arial" w:eastAsia="Arial" w:hAnsi="Arial" w:cs="Arial"/>
          <w:i/>
          <w:iCs/>
          <w:color w:val="5B1F4A"/>
        </w:rPr>
        <w:t>That structure isn’t decorative. It’s the methodology.</w:t>
      </w:r>
    </w:p>
    <w:p w14:paraId="490C5144" w14:textId="77777777" w:rsidR="00DB6CB3" w:rsidRDefault="00DB6CB3" w:rsidP="00DB6CB3">
      <w:pPr>
        <w:spacing w:after="80"/>
      </w:pPr>
      <w:r>
        <w:rPr>
          <w:rFonts w:ascii="Arial" w:eastAsia="Arial" w:hAnsi="Arial" w:cs="Arial"/>
          <w:color w:val="555555"/>
        </w:rPr>
        <w:t xml:space="preserve">The Hero’s Journey is a story structure that appears in every human culture across every century — because it doesn’t describe fiction. It describes how genuine transformation </w:t>
      </w:r>
      <w:proofErr w:type="gramStart"/>
      <w:r>
        <w:rPr>
          <w:rFonts w:ascii="Arial" w:eastAsia="Arial" w:hAnsi="Arial" w:cs="Arial"/>
          <w:color w:val="555555"/>
        </w:rPr>
        <w:t>actually happens</w:t>
      </w:r>
      <w:proofErr w:type="gramEnd"/>
      <w:r>
        <w:rPr>
          <w:rFonts w:ascii="Arial" w:eastAsia="Arial" w:hAnsi="Arial" w:cs="Arial"/>
          <w:color w:val="555555"/>
        </w:rPr>
        <w:t xml:space="preserve">. Lucus credits this as the Star Wars framework. </w:t>
      </w:r>
      <w:proofErr w:type="spellStart"/>
      <w:r>
        <w:rPr>
          <w:rFonts w:ascii="Arial" w:eastAsia="Arial" w:hAnsi="Arial" w:cs="Arial"/>
          <w:color w:val="555555"/>
        </w:rPr>
        <w:t>Intimology</w:t>
      </w:r>
      <w:proofErr w:type="spellEnd"/>
      <w:r>
        <w:rPr>
          <w:rFonts w:ascii="Arial" w:eastAsia="Arial" w:hAnsi="Arial" w:cs="Arial"/>
          <w:color w:val="555555"/>
        </w:rPr>
        <w:t xml:space="preserve"> uses the framework to guide </w:t>
      </w:r>
      <w:proofErr w:type="gramStart"/>
      <w:r>
        <w:rPr>
          <w:rFonts w:ascii="Arial" w:eastAsia="Arial" w:hAnsi="Arial" w:cs="Arial"/>
          <w:color w:val="555555"/>
        </w:rPr>
        <w:t>relationship</w:t>
      </w:r>
      <w:proofErr w:type="gramEnd"/>
      <w:r>
        <w:rPr>
          <w:rFonts w:ascii="Arial" w:eastAsia="Arial" w:hAnsi="Arial" w:cs="Arial"/>
          <w:color w:val="555555"/>
        </w:rPr>
        <w:t xml:space="preserve"> and intimacy education.</w:t>
      </w:r>
    </w:p>
    <w:p w14:paraId="78966901" w14:textId="77777777" w:rsidR="00DB6CB3" w:rsidRDefault="00DB6CB3" w:rsidP="00DB6CB3">
      <w:pPr>
        <w:spacing w:after="80"/>
      </w:pPr>
      <w:r>
        <w:rPr>
          <w:rFonts w:ascii="Arial" w:eastAsia="Arial" w:hAnsi="Arial" w:cs="Arial"/>
          <w:color w:val="555555"/>
        </w:rPr>
        <w:t>You start in an ordinary world. Something disrupts it. You resist the call to change, then cross a threshold anyway. You face trials, find allies, confront your own shadow, survive an ordeal, and return changed — carrying something worth passing on to everyone around you.</w:t>
      </w:r>
    </w:p>
    <w:p w14:paraId="3D473A42" w14:textId="77777777" w:rsidR="00DB6CB3" w:rsidRDefault="00DB6CB3" w:rsidP="00DB6CB3">
      <w:pPr>
        <w:pBdr>
          <w:bottom w:val="single" w:sz="2" w:space="3" w:color="D4B8C8"/>
        </w:pBdr>
        <w:spacing w:before="160" w:after="60"/>
      </w:pPr>
      <w:r>
        <w:rPr>
          <w:rFonts w:ascii="Arial" w:eastAsia="Arial" w:hAnsi="Arial" w:cs="Arial"/>
          <w:b/>
          <w:bCs/>
          <w:color w:val="5B1F4A"/>
          <w:sz w:val="21"/>
          <w:szCs w:val="21"/>
        </w:rPr>
        <w:t>Why Relationships?</w:t>
      </w:r>
    </w:p>
    <w:p w14:paraId="7092C938" w14:textId="77777777" w:rsidR="00DB6CB3" w:rsidRDefault="00DB6CB3" w:rsidP="00DB6CB3">
      <w:pPr>
        <w:spacing w:after="80"/>
      </w:pPr>
      <w:r>
        <w:rPr>
          <w:rFonts w:ascii="Arial" w:eastAsia="Arial" w:hAnsi="Arial" w:cs="Arial"/>
          <w:color w:val="555555"/>
        </w:rPr>
        <w:t xml:space="preserve">Most people enter relationships with inherited patterns, survival strategies formed under stress, and advice from the internet influencers or gurus that contradicts itself every week. When conflict </w:t>
      </w:r>
      <w:proofErr w:type="gramStart"/>
      <w:r>
        <w:rPr>
          <w:rFonts w:ascii="Arial" w:eastAsia="Arial" w:hAnsi="Arial" w:cs="Arial"/>
          <w:color w:val="555555"/>
        </w:rPr>
        <w:t>arrives</w:t>
      </w:r>
      <w:proofErr w:type="gramEnd"/>
      <w:r>
        <w:rPr>
          <w:rFonts w:ascii="Arial" w:eastAsia="Arial" w:hAnsi="Arial" w:cs="Arial"/>
          <w:color w:val="555555"/>
        </w:rPr>
        <w:t xml:space="preserve"> they react without skills. When patterns repeat they blame themselves or each other. When relationships fail many </w:t>
      </w:r>
      <w:proofErr w:type="gramStart"/>
      <w:r>
        <w:rPr>
          <w:rFonts w:ascii="Arial" w:eastAsia="Arial" w:hAnsi="Arial" w:cs="Arial"/>
          <w:color w:val="555555"/>
        </w:rPr>
        <w:t>move</w:t>
      </w:r>
      <w:proofErr w:type="gramEnd"/>
      <w:r>
        <w:rPr>
          <w:rFonts w:ascii="Arial" w:eastAsia="Arial" w:hAnsi="Arial" w:cs="Arial"/>
          <w:color w:val="555555"/>
        </w:rPr>
        <w:t xml:space="preserve"> on to fail again.</w:t>
      </w:r>
    </w:p>
    <w:p w14:paraId="4A3E61FA" w14:textId="77777777" w:rsidR="00DB6CB3" w:rsidRDefault="00DB6CB3" w:rsidP="00DB6CB3">
      <w:pPr>
        <w:spacing w:after="60"/>
      </w:pPr>
      <w:r>
        <w:rPr>
          <w:rFonts w:ascii="Arial" w:eastAsia="Arial" w:hAnsi="Arial" w:cs="Arial"/>
          <w:i/>
          <w:iCs/>
          <w:color w:val="5B1F4A"/>
        </w:rPr>
        <w:t>Nothing is fundamentally wrong with them. They were just never given a system.</w:t>
      </w:r>
    </w:p>
    <w:p w14:paraId="56419EBE" w14:textId="77777777" w:rsidR="00DB6CB3" w:rsidRDefault="00DB6CB3" w:rsidP="00DB6CB3">
      <w:pPr>
        <w:spacing w:after="80"/>
      </w:pPr>
      <w:r>
        <w:rPr>
          <w:rFonts w:ascii="Arial" w:eastAsia="Arial" w:hAnsi="Arial" w:cs="Arial"/>
          <w:color w:val="555555"/>
        </w:rPr>
        <w:t>The Hero’s Relationship Journey applies the transformation arc to the most important skill set most people were never taught. And because those skills affect every area of life — work, parenting, finances, health, community — this isn’t just relationship education. It’s a complete life operating system.</w:t>
      </w:r>
    </w:p>
    <w:p w14:paraId="2E73C095" w14:textId="77777777" w:rsidR="00DB6CB3" w:rsidRDefault="00DB6CB3" w:rsidP="00DB6CB3">
      <w:pPr>
        <w:pBdr>
          <w:bottom w:val="single" w:sz="2" w:space="3" w:color="D4B8C8"/>
        </w:pBdr>
        <w:spacing w:before="160" w:after="60"/>
      </w:pPr>
      <w:r>
        <w:rPr>
          <w:rFonts w:ascii="Arial" w:eastAsia="Arial" w:hAnsi="Arial" w:cs="Arial"/>
          <w:b/>
          <w:bCs/>
          <w:color w:val="5B1F4A"/>
          <w:sz w:val="21"/>
          <w:szCs w:val="21"/>
        </w:rPr>
        <w:t>Why 52 Weeks?</w:t>
      </w:r>
    </w:p>
    <w:p w14:paraId="29AFDAA3" w14:textId="77777777" w:rsidR="00DB6CB3" w:rsidRDefault="00DB6CB3" w:rsidP="00DB6CB3">
      <w:pPr>
        <w:spacing w:after="80"/>
      </w:pPr>
      <w:r>
        <w:rPr>
          <w:rFonts w:ascii="Arial" w:eastAsia="Arial" w:hAnsi="Arial" w:cs="Arial"/>
          <w:color w:val="555555"/>
        </w:rPr>
        <w:t xml:space="preserve">Because patterns formed over decades don’t dissolve in a weekend. Real behavioral change requires recognition and implementation that lets insight become instinct. 52 weeks provides the structure for that process to </w:t>
      </w:r>
      <w:proofErr w:type="gramStart"/>
      <w:r>
        <w:rPr>
          <w:rFonts w:ascii="Arial" w:eastAsia="Arial" w:hAnsi="Arial" w:cs="Arial"/>
          <w:color w:val="555555"/>
        </w:rPr>
        <w:t>actually complete</w:t>
      </w:r>
      <w:proofErr w:type="gramEnd"/>
      <w:r>
        <w:rPr>
          <w:rFonts w:ascii="Arial" w:eastAsia="Arial" w:hAnsi="Arial" w:cs="Arial"/>
          <w:color w:val="555555"/>
        </w:rPr>
        <w:t>. Not because the content is overwhelming. Because each week builds on itself for permanent success.</w:t>
      </w:r>
    </w:p>
    <w:p w14:paraId="5A637621" w14:textId="77777777" w:rsidR="00DB6CB3" w:rsidRDefault="00DB6CB3" w:rsidP="00DB6CB3">
      <w:pPr>
        <w:pBdr>
          <w:bottom w:val="single" w:sz="2" w:space="3" w:color="D4B8C8"/>
        </w:pBdr>
        <w:spacing w:before="160" w:after="60"/>
      </w:pPr>
      <w:r>
        <w:rPr>
          <w:rFonts w:ascii="Arial" w:eastAsia="Arial" w:hAnsi="Arial" w:cs="Arial"/>
          <w:b/>
          <w:bCs/>
          <w:color w:val="5B1F4A"/>
          <w:sz w:val="21"/>
          <w:szCs w:val="21"/>
        </w:rPr>
        <w:t>Why Sequential?</w:t>
      </w:r>
    </w:p>
    <w:p w14:paraId="34B7C4CD" w14:textId="77777777" w:rsidR="00DB6CB3" w:rsidRDefault="00DB6CB3" w:rsidP="00DB6CB3">
      <w:pPr>
        <w:spacing w:after="80"/>
      </w:pPr>
      <w:r>
        <w:rPr>
          <w:rFonts w:ascii="Arial" w:eastAsia="Arial" w:hAnsi="Arial" w:cs="Arial"/>
          <w:color w:val="555555"/>
        </w:rPr>
        <w:t xml:space="preserve">Skills learned without sequence fail under pressure. The order is not arbitrary — it is </w:t>
      </w:r>
      <w:proofErr w:type="gramStart"/>
      <w:r>
        <w:rPr>
          <w:rFonts w:ascii="Arial" w:eastAsia="Arial" w:hAnsi="Arial" w:cs="Arial"/>
          <w:color w:val="555555"/>
        </w:rPr>
        <w:t>the methodology</w:t>
      </w:r>
      <w:proofErr w:type="gramEnd"/>
      <w:r>
        <w:rPr>
          <w:rFonts w:ascii="Arial" w:eastAsia="Arial" w:hAnsi="Arial" w:cs="Arial"/>
          <w:color w:val="555555"/>
        </w:rPr>
        <w:t xml:space="preserve">. Each phase builds the internal capacity required for the next. Skipping ahead undermines the process. </w:t>
      </w:r>
    </w:p>
    <w:p w14:paraId="0905CD22" w14:textId="77777777" w:rsidR="00DB6CB3" w:rsidRDefault="00DB6CB3" w:rsidP="00DB6CB3">
      <w:pPr>
        <w:pBdr>
          <w:bottom w:val="single" w:sz="2" w:space="3" w:color="D4B8C8"/>
        </w:pBdr>
        <w:spacing w:before="120"/>
      </w:pPr>
      <w:r>
        <w:rPr>
          <w:rFonts w:ascii="Arial" w:eastAsia="Arial" w:hAnsi="Arial" w:cs="Arial"/>
          <w:b/>
          <w:bCs/>
          <w:color w:val="5B1F4A"/>
          <w:sz w:val="21"/>
          <w:szCs w:val="21"/>
        </w:rPr>
        <w:t>The Six Phases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1"/>
        <w:gridCol w:w="2179"/>
        <w:gridCol w:w="6450"/>
      </w:tblGrid>
      <w:tr w:rsidR="00DB6CB3" w14:paraId="1E01F497" w14:textId="77777777" w:rsidTr="00734244">
        <w:trPr>
          <w:tblHeader/>
        </w:trPr>
        <w:tc>
          <w:tcPr>
            <w:tcW w:w="6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shd w:val="clear" w:color="auto" w:fill="5B1F4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9B50F7" w14:textId="77777777" w:rsidR="00DB6CB3" w:rsidRDefault="00DB6CB3" w:rsidP="00734244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Phase</w:t>
            </w:r>
          </w:p>
        </w:tc>
        <w:tc>
          <w:tcPr>
            <w:tcW w:w="22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shd w:val="clear" w:color="auto" w:fill="5B1F4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7DF5BC" w14:textId="77777777" w:rsidR="00DB6CB3" w:rsidRDefault="00DB6CB3" w:rsidP="00734244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Name</w:t>
            </w:r>
          </w:p>
        </w:tc>
        <w:tc>
          <w:tcPr>
            <w:tcW w:w="65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shd w:val="clear" w:color="auto" w:fill="5B1F4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491D9D" w14:textId="77777777" w:rsidR="00DB6CB3" w:rsidRDefault="00DB6CB3" w:rsidP="00734244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What It Does</w:t>
            </w:r>
          </w:p>
        </w:tc>
      </w:tr>
      <w:tr w:rsidR="00DB6CB3" w14:paraId="44D5AC57" w14:textId="77777777" w:rsidTr="00734244">
        <w:tc>
          <w:tcPr>
            <w:tcW w:w="6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11158E" w14:textId="77777777" w:rsidR="00DB6CB3" w:rsidRDefault="00DB6CB3" w:rsidP="00734244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I</w:t>
            </w:r>
          </w:p>
        </w:tc>
        <w:tc>
          <w:tcPr>
            <w:tcW w:w="22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74B41D" w14:textId="77777777" w:rsidR="00DB6CB3" w:rsidRDefault="00DB6CB3" w:rsidP="00734244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Discovery Quest</w:t>
            </w:r>
          </w:p>
        </w:tc>
        <w:tc>
          <w:tcPr>
            <w:tcW w:w="65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2E99F9" w14:textId="77777777" w:rsidR="00DB6CB3" w:rsidRDefault="00DB6CB3" w:rsidP="00734244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Understanding the patterns, beliefs, and relational conditioning you’ve been operating from — most of which you never consciously chose.</w:t>
            </w:r>
          </w:p>
        </w:tc>
      </w:tr>
      <w:tr w:rsidR="00DB6CB3" w14:paraId="75583763" w14:textId="77777777" w:rsidTr="00734244">
        <w:tc>
          <w:tcPr>
            <w:tcW w:w="6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415900" w14:textId="77777777" w:rsidR="00DB6CB3" w:rsidRDefault="00DB6CB3" w:rsidP="00734244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II</w:t>
            </w:r>
          </w:p>
        </w:tc>
        <w:tc>
          <w:tcPr>
            <w:tcW w:w="22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003535" w14:textId="77777777" w:rsidR="00DB6CB3" w:rsidRDefault="00DB6CB3" w:rsidP="00734244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Readiness Run</w:t>
            </w:r>
          </w:p>
        </w:tc>
        <w:tc>
          <w:tcPr>
            <w:tcW w:w="65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0614C9" w14:textId="77777777" w:rsidR="00DB6CB3" w:rsidRDefault="00DB6CB3" w:rsidP="00734244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Building internal stability, emotional capacity, and genuine accountability before deeper relational engagement.</w:t>
            </w:r>
          </w:p>
        </w:tc>
      </w:tr>
      <w:tr w:rsidR="00DB6CB3" w14:paraId="21C38243" w14:textId="77777777" w:rsidTr="00734244">
        <w:tc>
          <w:tcPr>
            <w:tcW w:w="6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51BF09" w14:textId="77777777" w:rsidR="00DB6CB3" w:rsidRDefault="00DB6CB3" w:rsidP="00734244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III</w:t>
            </w:r>
          </w:p>
        </w:tc>
        <w:tc>
          <w:tcPr>
            <w:tcW w:w="22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1A8FAA" w14:textId="77777777" w:rsidR="00DB6CB3" w:rsidRDefault="00DB6CB3" w:rsidP="00734244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Knighthood</w:t>
            </w:r>
          </w:p>
        </w:tc>
        <w:tc>
          <w:tcPr>
            <w:tcW w:w="65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064CF8" w14:textId="77777777" w:rsidR="00DB6CB3" w:rsidRDefault="00DB6CB3" w:rsidP="00734244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Developing relational leadership, accountability to others, conflict navigation, and relational integrity.</w:t>
            </w:r>
          </w:p>
        </w:tc>
      </w:tr>
      <w:tr w:rsidR="00DB6CB3" w14:paraId="02F5E3B3" w14:textId="77777777" w:rsidTr="00734244">
        <w:tc>
          <w:tcPr>
            <w:tcW w:w="6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6918B5" w14:textId="77777777" w:rsidR="00DB6CB3" w:rsidRDefault="00DB6CB3" w:rsidP="00734244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IV</w:t>
            </w:r>
          </w:p>
        </w:tc>
        <w:tc>
          <w:tcPr>
            <w:tcW w:w="22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E5C5D3" w14:textId="77777777" w:rsidR="00DB6CB3" w:rsidRDefault="00DB6CB3" w:rsidP="00734244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Pleasure Protocols</w:t>
            </w:r>
          </w:p>
        </w:tc>
        <w:tc>
          <w:tcPr>
            <w:tcW w:w="65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E302F9" w14:textId="77777777" w:rsidR="00DB6CB3" w:rsidRDefault="00DB6CB3" w:rsidP="00734244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Healthy connection, consent eroticism, desire articulation, intimacy, and co-created physical and emotional safety.</w:t>
            </w:r>
          </w:p>
        </w:tc>
      </w:tr>
      <w:tr w:rsidR="00DB6CB3" w14:paraId="17DA0218" w14:textId="77777777" w:rsidTr="00734244">
        <w:tc>
          <w:tcPr>
            <w:tcW w:w="6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2D0A51" w14:textId="77777777" w:rsidR="00DB6CB3" w:rsidRDefault="00DB6CB3" w:rsidP="00734244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V</w:t>
            </w:r>
          </w:p>
        </w:tc>
        <w:tc>
          <w:tcPr>
            <w:tcW w:w="22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F1996D" w14:textId="77777777" w:rsidR="00DB6CB3" w:rsidRDefault="00DB6CB3" w:rsidP="00734244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Ascension</w:t>
            </w:r>
          </w:p>
        </w:tc>
        <w:tc>
          <w:tcPr>
            <w:tcW w:w="65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97A678" w14:textId="77777777" w:rsidR="00DB6CB3" w:rsidRDefault="00DB6CB3" w:rsidP="00734244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Integration — bringing learned skills into daily life, habit formation, and sustainable relationship systems.</w:t>
            </w:r>
          </w:p>
        </w:tc>
      </w:tr>
      <w:tr w:rsidR="00DB6CB3" w14:paraId="6576861D" w14:textId="77777777" w:rsidTr="00734244">
        <w:tc>
          <w:tcPr>
            <w:tcW w:w="6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8F048C" w14:textId="77777777" w:rsidR="00DB6CB3" w:rsidRDefault="00DB6CB3" w:rsidP="00734244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VI</w:t>
            </w:r>
          </w:p>
        </w:tc>
        <w:tc>
          <w:tcPr>
            <w:tcW w:w="22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AE40AF" w14:textId="77777777" w:rsidR="00DB6CB3" w:rsidRDefault="00DB6CB3" w:rsidP="00734244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Mastery</w:t>
            </w:r>
          </w:p>
        </w:tc>
        <w:tc>
          <w:tcPr>
            <w:tcW w:w="65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F43A89" w14:textId="77777777" w:rsidR="00DB6CB3" w:rsidRDefault="00DB6CB3" w:rsidP="00734244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Sustaining growth, mentorship mindset, and generational knowledge — carrying something worth passing on.</w:t>
            </w:r>
          </w:p>
        </w:tc>
      </w:tr>
    </w:tbl>
    <w:p w14:paraId="0F03F967" w14:textId="77777777" w:rsidR="00DB6CB3" w:rsidRDefault="00DB6CB3" w:rsidP="00DB6CB3">
      <w:pPr>
        <w:pBdr>
          <w:bottom w:val="single" w:sz="2" w:space="3" w:color="D4B8C8"/>
        </w:pBdr>
        <w:spacing w:before="160" w:after="60"/>
      </w:pPr>
      <w:r>
        <w:rPr>
          <w:rFonts w:ascii="Arial" w:eastAsia="Arial" w:hAnsi="Arial" w:cs="Arial"/>
          <w:b/>
          <w:bCs/>
          <w:color w:val="5B1F4A"/>
          <w:sz w:val="21"/>
          <w:szCs w:val="21"/>
        </w:rPr>
        <w:t>What You Walk Away With</w:t>
      </w:r>
    </w:p>
    <w:p w14:paraId="2683A95B" w14:textId="77777777" w:rsidR="00DB6CB3" w:rsidRDefault="00DB6CB3" w:rsidP="00DB6CB3">
      <w:pPr>
        <w:pStyle w:val="ListParagraph"/>
        <w:numPr>
          <w:ilvl w:val="0"/>
          <w:numId w:val="1"/>
        </w:numPr>
        <w:spacing w:after="60"/>
        <w:contextualSpacing w:val="0"/>
      </w:pPr>
      <w:r>
        <w:rPr>
          <w:rFonts w:ascii="Arial" w:eastAsia="Arial" w:hAnsi="Arial" w:cs="Arial"/>
          <w:color w:val="555555"/>
        </w:rPr>
        <w:t xml:space="preserve">Communication skills that </w:t>
      </w:r>
      <w:proofErr w:type="gramStart"/>
      <w:r>
        <w:rPr>
          <w:rFonts w:ascii="Arial" w:eastAsia="Arial" w:hAnsi="Arial" w:cs="Arial"/>
          <w:color w:val="555555"/>
        </w:rPr>
        <w:t>holds</w:t>
      </w:r>
      <w:proofErr w:type="gramEnd"/>
      <w:r>
        <w:rPr>
          <w:rFonts w:ascii="Arial" w:eastAsia="Arial" w:hAnsi="Arial" w:cs="Arial"/>
          <w:color w:val="555555"/>
        </w:rPr>
        <w:t xml:space="preserve"> up under pressure — not just when things are easy</w:t>
      </w:r>
    </w:p>
    <w:p w14:paraId="2404BFBB" w14:textId="77777777" w:rsidR="00DB6CB3" w:rsidRDefault="00DB6CB3" w:rsidP="00DB6CB3">
      <w:pPr>
        <w:pStyle w:val="ListParagraph"/>
        <w:numPr>
          <w:ilvl w:val="0"/>
          <w:numId w:val="1"/>
        </w:numPr>
        <w:spacing w:after="60"/>
        <w:contextualSpacing w:val="0"/>
      </w:pPr>
      <w:r>
        <w:rPr>
          <w:rFonts w:ascii="Arial" w:eastAsia="Arial" w:hAnsi="Arial" w:cs="Arial"/>
          <w:color w:val="555555"/>
        </w:rPr>
        <w:t>Conflict repair strategies that build trust instead of eroding it</w:t>
      </w:r>
    </w:p>
    <w:p w14:paraId="653C4132" w14:textId="77777777" w:rsidR="00DB6CB3" w:rsidRDefault="00DB6CB3" w:rsidP="00DB6CB3">
      <w:pPr>
        <w:pStyle w:val="ListParagraph"/>
        <w:numPr>
          <w:ilvl w:val="0"/>
          <w:numId w:val="1"/>
        </w:numPr>
        <w:spacing w:after="60"/>
        <w:contextualSpacing w:val="0"/>
      </w:pPr>
      <w:r>
        <w:rPr>
          <w:rFonts w:ascii="Arial" w:eastAsia="Arial" w:hAnsi="Arial" w:cs="Arial"/>
          <w:color w:val="555555"/>
        </w:rPr>
        <w:t>Consent literacy and genuine boundary authority — knowing what you want and being able to say it</w:t>
      </w:r>
    </w:p>
    <w:p w14:paraId="539E1A51" w14:textId="77777777" w:rsidR="00DB6CB3" w:rsidRDefault="00DB6CB3" w:rsidP="00DB6CB3">
      <w:pPr>
        <w:pStyle w:val="ListParagraph"/>
        <w:numPr>
          <w:ilvl w:val="0"/>
          <w:numId w:val="1"/>
        </w:numPr>
        <w:spacing w:after="60"/>
        <w:contextualSpacing w:val="0"/>
      </w:pPr>
      <w:r>
        <w:rPr>
          <w:rFonts w:ascii="Arial" w:eastAsia="Arial" w:hAnsi="Arial" w:cs="Arial"/>
          <w:color w:val="555555"/>
        </w:rPr>
        <w:t>Relational leadership — the capacity to be a safe space, a mirror, a builder, and a force for growth</w:t>
      </w:r>
    </w:p>
    <w:p w14:paraId="736478A1" w14:textId="77777777" w:rsidR="00DB6CB3" w:rsidRPr="001B55AB" w:rsidRDefault="00DB6CB3" w:rsidP="00DB6CB3">
      <w:pPr>
        <w:pStyle w:val="ListParagraph"/>
        <w:numPr>
          <w:ilvl w:val="0"/>
          <w:numId w:val="1"/>
        </w:numPr>
        <w:spacing w:after="60"/>
        <w:contextualSpacing w:val="0"/>
      </w:pPr>
      <w:r>
        <w:rPr>
          <w:rFonts w:ascii="Arial" w:eastAsia="Arial" w:hAnsi="Arial" w:cs="Arial"/>
          <w:color w:val="555555"/>
        </w:rPr>
        <w:t>Something worth passing on — because what we model becomes what others inherit</w:t>
      </w:r>
    </w:p>
    <w:p w14:paraId="7C3E1CB1" w14:textId="77777777" w:rsidR="0000632F" w:rsidRDefault="0000632F"/>
    <w:sectPr w:rsidR="0000632F" w:rsidSect="00DB6CB3">
      <w:headerReference w:type="default" r:id="rId5"/>
      <w:footerReference w:type="default" r:id="rId6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29139" w14:textId="77777777" w:rsidR="00DB6CB3" w:rsidRPr="004507F6" w:rsidRDefault="00DB6CB3" w:rsidP="004507F6">
    <w:pPr>
      <w:pBdr>
        <w:top w:val="single" w:sz="3" w:space="4" w:color="C8A96E"/>
      </w:pBdr>
      <w:spacing w:before="120"/>
      <w:jc w:val="center"/>
    </w:pPr>
    <w:proofErr w:type="gramStart"/>
    <w:r>
      <w:rPr>
        <w:rFonts w:ascii="Arial" w:eastAsia="Arial" w:hAnsi="Arial" w:cs="Arial"/>
        <w:color w:val="555555"/>
        <w:sz w:val="17"/>
        <w:szCs w:val="17"/>
      </w:rPr>
      <w:t>intimology.org  |</w:t>
    </w:r>
    <w:proofErr w:type="gramEnd"/>
    <w:r>
      <w:rPr>
        <w:rFonts w:ascii="Arial" w:eastAsia="Arial" w:hAnsi="Arial" w:cs="Arial"/>
        <w:color w:val="555555"/>
        <w:sz w:val="17"/>
        <w:szCs w:val="17"/>
      </w:rPr>
      <w:t xml:space="preserve">  </w:t>
    </w:r>
    <w:proofErr w:type="gramStart"/>
    <w:r>
      <w:rPr>
        <w:rFonts w:ascii="Arial" w:eastAsia="Arial" w:hAnsi="Arial" w:cs="Arial"/>
        <w:color w:val="555555"/>
        <w:sz w:val="17"/>
        <w:szCs w:val="17"/>
      </w:rPr>
      <w:t>ask@intimology.org  |</w:t>
    </w:r>
    <w:proofErr w:type="gramEnd"/>
    <w:r>
      <w:rPr>
        <w:rFonts w:ascii="Arial" w:eastAsia="Arial" w:hAnsi="Arial" w:cs="Arial"/>
        <w:color w:val="555555"/>
        <w:sz w:val="17"/>
        <w:szCs w:val="17"/>
      </w:rPr>
      <w:t xml:space="preserve">  509-383-8380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4A535" w14:textId="77777777" w:rsidR="00DB6CB3" w:rsidRDefault="00DB6CB3" w:rsidP="001B55AB">
    <w:pPr>
      <w:spacing w:after="60"/>
    </w:pPr>
    <w:r>
      <w:t xml:space="preserve">Not therapy. Never telling you what is or isn’t healthy or “right”. Not graded. Only you can decide what is best for you.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818BD"/>
    <w:multiLevelType w:val="hybridMultilevel"/>
    <w:tmpl w:val="9C7E32F0"/>
    <w:lvl w:ilvl="0" w:tplc="976C86F6">
      <w:start w:val="1"/>
      <w:numFmt w:val="bullet"/>
      <w:lvlText w:val="•"/>
      <w:lvlJc w:val="left"/>
      <w:pPr>
        <w:ind w:left="360" w:hanging="360"/>
      </w:pPr>
    </w:lvl>
    <w:lvl w:ilvl="1" w:tplc="30FA384A">
      <w:numFmt w:val="decimal"/>
      <w:lvlText w:val=""/>
      <w:lvlJc w:val="left"/>
    </w:lvl>
    <w:lvl w:ilvl="2" w:tplc="DDD49E10">
      <w:numFmt w:val="decimal"/>
      <w:lvlText w:val=""/>
      <w:lvlJc w:val="left"/>
    </w:lvl>
    <w:lvl w:ilvl="3" w:tplc="44DAB998">
      <w:numFmt w:val="decimal"/>
      <w:lvlText w:val=""/>
      <w:lvlJc w:val="left"/>
    </w:lvl>
    <w:lvl w:ilvl="4" w:tplc="B6242FF4">
      <w:numFmt w:val="decimal"/>
      <w:lvlText w:val=""/>
      <w:lvlJc w:val="left"/>
    </w:lvl>
    <w:lvl w:ilvl="5" w:tplc="EAC40E10">
      <w:numFmt w:val="decimal"/>
      <w:lvlText w:val=""/>
      <w:lvlJc w:val="left"/>
    </w:lvl>
    <w:lvl w:ilvl="6" w:tplc="EB40B9C0">
      <w:numFmt w:val="decimal"/>
      <w:lvlText w:val=""/>
      <w:lvlJc w:val="left"/>
    </w:lvl>
    <w:lvl w:ilvl="7" w:tplc="723E0F50">
      <w:numFmt w:val="decimal"/>
      <w:lvlText w:val=""/>
      <w:lvlJc w:val="left"/>
    </w:lvl>
    <w:lvl w:ilvl="8" w:tplc="B60468DA">
      <w:numFmt w:val="decimal"/>
      <w:lvlText w:val=""/>
      <w:lvlJc w:val="left"/>
    </w:lvl>
  </w:abstractNum>
  <w:num w:numId="1" w16cid:durableId="1418497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CB3"/>
    <w:rsid w:val="0000632F"/>
    <w:rsid w:val="003E33C5"/>
    <w:rsid w:val="008C63BF"/>
    <w:rsid w:val="00CF4399"/>
    <w:rsid w:val="00DB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BC4FB"/>
  <w15:chartTrackingRefBased/>
  <w15:docId w15:val="{98D60304-0A3F-4C84-B2E1-4B21E849C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CB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6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6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6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6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6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6C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6C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6C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6C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6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6C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6C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6C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6C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6C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6C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6C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6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6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6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6CB3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DB6C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6C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C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6C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498</Words>
  <Characters>2953</Characters>
  <Application>Microsoft Office Word</Application>
  <DocSecurity>0</DocSecurity>
  <Lines>62</Lines>
  <Paragraphs>49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oriana landt</dc:creator>
  <cp:keywords/>
  <dc:description/>
  <cp:lastModifiedBy>oriana landt</cp:lastModifiedBy>
  <cp:revision>1</cp:revision>
  <dcterms:created xsi:type="dcterms:W3CDTF">2026-06-25T05:31:00Z</dcterms:created>
  <dcterms:modified xsi:type="dcterms:W3CDTF">2026-06-25T05:32:00Z</dcterms:modified>
</cp:coreProperties>
</file>