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FDBAA" w14:textId="77777777" w:rsidR="007A68C6" w:rsidRDefault="009B2974">
      <w:pPr>
        <w:spacing w:after="30"/>
      </w:pPr>
      <w:r>
        <w:rPr>
          <w:rFonts w:ascii="Arial" w:eastAsia="Arial" w:hAnsi="Arial" w:cs="Arial"/>
          <w:b/>
          <w:bCs/>
          <w:color w:val="5B1F4A"/>
          <w:sz w:val="34"/>
          <w:szCs w:val="34"/>
        </w:rPr>
        <w:t>THE COMPATIBILITY BLUEPRINT</w:t>
      </w:r>
    </w:p>
    <w:p w14:paraId="19DAEAEB" w14:textId="77777777" w:rsidR="007A68C6" w:rsidRDefault="009B2974">
      <w:pPr>
        <w:spacing w:after="30"/>
      </w:pPr>
      <w:r>
        <w:rPr>
          <w:rFonts w:ascii="Arial" w:eastAsia="Arial" w:hAnsi="Arial" w:cs="Arial"/>
          <w:i/>
          <w:iCs/>
          <w:color w:val="C8A96E"/>
          <w:sz w:val="21"/>
          <w:szCs w:val="21"/>
        </w:rPr>
        <w:t xml:space="preserve">A relational intelligence matching system — by </w:t>
      </w:r>
      <w:proofErr w:type="spellStart"/>
      <w:r>
        <w:rPr>
          <w:rFonts w:ascii="Arial" w:eastAsia="Arial" w:hAnsi="Arial" w:cs="Arial"/>
          <w:i/>
          <w:iCs/>
          <w:color w:val="C8A96E"/>
          <w:sz w:val="21"/>
          <w:szCs w:val="21"/>
        </w:rPr>
        <w:t>Intimology</w:t>
      </w:r>
      <w:proofErr w:type="spellEnd"/>
    </w:p>
    <w:p w14:paraId="7E72EAE5" w14:textId="77777777" w:rsidR="007A68C6" w:rsidRDefault="009B2974">
      <w:pPr>
        <w:pBdr>
          <w:bottom w:val="single" w:sz="4" w:space="4" w:color="C8A96E"/>
        </w:pBdr>
        <w:spacing w:after="120"/>
      </w:pPr>
      <w:proofErr w:type="spellStart"/>
      <w:r>
        <w:rPr>
          <w:rFonts w:ascii="Arial" w:eastAsia="Arial" w:hAnsi="Arial" w:cs="Arial"/>
          <w:color w:val="555555"/>
          <w:sz w:val="18"/>
          <w:szCs w:val="18"/>
        </w:rPr>
        <w:t>Intimology</w:t>
      </w:r>
      <w:proofErr w:type="spellEnd"/>
      <w:r>
        <w:rPr>
          <w:rFonts w:ascii="Arial" w:eastAsia="Arial" w:hAnsi="Arial" w:cs="Arial"/>
          <w:color w:val="555555"/>
          <w:sz w:val="18"/>
          <w:szCs w:val="18"/>
        </w:rPr>
        <w:t xml:space="preserve"> — the education division of </w:t>
      </w:r>
      <w:proofErr w:type="gramStart"/>
      <w:r>
        <w:rPr>
          <w:rFonts w:ascii="Arial" w:eastAsia="Arial" w:hAnsi="Arial" w:cs="Arial"/>
          <w:color w:val="555555"/>
          <w:sz w:val="18"/>
          <w:szCs w:val="18"/>
        </w:rPr>
        <w:t>Sexess  |</w:t>
      </w:r>
      <w:proofErr w:type="gramEnd"/>
      <w:r>
        <w:rPr>
          <w:rFonts w:ascii="Arial" w:eastAsia="Arial" w:hAnsi="Arial" w:cs="Arial"/>
          <w:color w:val="555555"/>
          <w:sz w:val="18"/>
          <w:szCs w:val="18"/>
        </w:rPr>
        <w:t xml:space="preserve">  501(c)(3</w:t>
      </w:r>
      <w:proofErr w:type="gramStart"/>
      <w:r>
        <w:rPr>
          <w:rFonts w:ascii="Arial" w:eastAsia="Arial" w:hAnsi="Arial" w:cs="Arial"/>
          <w:color w:val="555555"/>
          <w:sz w:val="18"/>
          <w:szCs w:val="18"/>
        </w:rPr>
        <w:t>)  |</w:t>
      </w:r>
      <w:proofErr w:type="gramEnd"/>
      <w:r>
        <w:rPr>
          <w:rFonts w:ascii="Arial" w:eastAsia="Arial" w:hAnsi="Arial" w:cs="Arial"/>
          <w:color w:val="555555"/>
          <w:sz w:val="18"/>
          <w:szCs w:val="18"/>
        </w:rPr>
        <w:t xml:space="preserve">  EIN #88-3785162</w:t>
      </w:r>
    </w:p>
    <w:p w14:paraId="36ACF719" w14:textId="77777777" w:rsidR="007A68C6" w:rsidRDefault="009B2974">
      <w:pPr>
        <w:pBdr>
          <w:bottom w:val="single" w:sz="2" w:space="3" w:color="D4B8C8"/>
        </w:pBdr>
        <w:spacing w:before="160" w:after="60"/>
      </w:pPr>
      <w:r>
        <w:rPr>
          <w:rFonts w:ascii="Arial" w:eastAsia="Arial" w:hAnsi="Arial" w:cs="Arial"/>
          <w:b/>
          <w:bCs/>
          <w:color w:val="5B1F4A"/>
          <w:sz w:val="21"/>
          <w:szCs w:val="21"/>
        </w:rPr>
        <w:t>The Problem</w:t>
      </w:r>
    </w:p>
    <w:p w14:paraId="24903E92" w14:textId="77777777" w:rsidR="007A68C6" w:rsidRDefault="009B2974">
      <w:pPr>
        <w:spacing w:after="80"/>
      </w:pPr>
      <w:r>
        <w:rPr>
          <w:rFonts w:ascii="Arial" w:eastAsia="Arial" w:hAnsi="Arial" w:cs="Arial"/>
          <w:color w:val="555555"/>
        </w:rPr>
        <w:t xml:space="preserve">Most dating apps </w:t>
      </w:r>
      <w:proofErr w:type="gramStart"/>
      <w:r>
        <w:rPr>
          <w:rFonts w:ascii="Arial" w:eastAsia="Arial" w:hAnsi="Arial" w:cs="Arial"/>
          <w:color w:val="555555"/>
        </w:rPr>
        <w:t>filter for</w:t>
      </w:r>
      <w:proofErr w:type="gramEnd"/>
      <w:r>
        <w:rPr>
          <w:rFonts w:ascii="Arial" w:eastAsia="Arial" w:hAnsi="Arial" w:cs="Arial"/>
          <w:color w:val="555555"/>
        </w:rPr>
        <w:t xml:space="preserve"> photos and proximity. They optimize for swipes, not compatibility. The result is first dates with strangers who look right on paper and feel wrong in person — because surface never predicted substance. People aren’t failing at dating because they aren’t trying hard enough. They’re failing because the tools they’ve been given were never designed to find genuine compatibility.</w:t>
      </w:r>
    </w:p>
    <w:p w14:paraId="4CBD1B43" w14:textId="77777777" w:rsidR="007A68C6" w:rsidRDefault="009B2974">
      <w:pPr>
        <w:pBdr>
          <w:bottom w:val="single" w:sz="2" w:space="3" w:color="D4B8C8"/>
        </w:pBdr>
        <w:spacing w:before="160" w:after="60"/>
      </w:pPr>
      <w:r>
        <w:rPr>
          <w:rFonts w:ascii="Arial" w:eastAsia="Arial" w:hAnsi="Arial" w:cs="Arial"/>
          <w:b/>
          <w:bCs/>
          <w:color w:val="5B1F4A"/>
          <w:sz w:val="21"/>
          <w:szCs w:val="21"/>
        </w:rPr>
        <w:t>What It Actually Does</w:t>
      </w:r>
    </w:p>
    <w:p w14:paraId="0DCBCA56" w14:textId="77777777" w:rsidR="007A68C6" w:rsidRDefault="009B2974">
      <w:pPr>
        <w:spacing w:after="80"/>
      </w:pPr>
      <w:r>
        <w:rPr>
          <w:rFonts w:ascii="Arial" w:eastAsia="Arial" w:hAnsi="Arial" w:cs="Arial"/>
          <w:color w:val="555555"/>
        </w:rPr>
        <w:t>The Compatibility Blueprint is a five-part relational intelligence assessment that maps the dimensions of connection, interaction dynamics, lifestyle structure, courtship style, and stress response patterns — then uses that profile to identify genuinely compatible partners.</w:t>
      </w:r>
    </w:p>
    <w:p w14:paraId="5E1DF56B" w14:textId="77777777" w:rsidR="007A68C6" w:rsidRDefault="009B2974">
      <w:pPr>
        <w:spacing w:after="80"/>
      </w:pPr>
      <w:r>
        <w:rPr>
          <w:rFonts w:ascii="Arial" w:eastAsia="Arial" w:hAnsi="Arial" w:cs="Arial"/>
          <w:color w:val="555555"/>
        </w:rPr>
        <w:t>Not a personality quiz. Not a swipe engine. A relational blueprint built on the same framework as the Hero’s Relationship Journey.</w:t>
      </w:r>
    </w:p>
    <w:p w14:paraId="3E5D0235" w14:textId="77777777" w:rsidR="007A68C6" w:rsidRDefault="009B2974">
      <w:pPr>
        <w:spacing w:after="60"/>
      </w:pPr>
      <w:r>
        <w:rPr>
          <w:rFonts w:ascii="Arial" w:eastAsia="Arial" w:hAnsi="Arial" w:cs="Arial"/>
          <w:i/>
          <w:iCs/>
          <w:color w:val="5B1F4A"/>
        </w:rPr>
        <w:t>Values first. Surface second. And stress response patterns before the first date — not after the first fight.</w:t>
      </w:r>
    </w:p>
    <w:p w14:paraId="112A7A28" w14:textId="77777777" w:rsidR="007A68C6" w:rsidRDefault="009B2974">
      <w:pPr>
        <w:pBdr>
          <w:bottom w:val="single" w:sz="2" w:space="3" w:color="D4B8C8"/>
        </w:pBdr>
        <w:spacing w:before="160" w:after="60"/>
      </w:pPr>
      <w:r>
        <w:rPr>
          <w:rFonts w:ascii="Arial" w:eastAsia="Arial" w:hAnsi="Arial" w:cs="Arial"/>
          <w:b/>
          <w:bCs/>
          <w:color w:val="5B1F4A"/>
          <w:sz w:val="21"/>
          <w:szCs w:val="21"/>
        </w:rPr>
        <w:t>The Five-Part Assessment</w:t>
      </w:r>
    </w:p>
    <w:p w14:paraId="259D0E46" w14:textId="77777777" w:rsidR="007A68C6" w:rsidRDefault="007A68C6">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460"/>
        <w:gridCol w:w="6000"/>
      </w:tblGrid>
      <w:tr w:rsidR="007A68C6" w14:paraId="3F74A3E2" w14:textId="77777777">
        <w:tblPrEx>
          <w:tblCellMar>
            <w:top w:w="0" w:type="dxa"/>
            <w:bottom w:w="0" w:type="dxa"/>
          </w:tblCellMar>
        </w:tblPrEx>
        <w:trPr>
          <w:tblHeader/>
        </w:trPr>
        <w:tc>
          <w:tcPr>
            <w:tcW w:w="900" w:type="dxa"/>
            <w:tcBorders>
              <w:top w:val="single" w:sz="1" w:space="0" w:color="D4B8C8"/>
              <w:left w:val="single" w:sz="1" w:space="0" w:color="D4B8C8"/>
              <w:bottom w:val="single" w:sz="1" w:space="0" w:color="D4B8C8"/>
              <w:right w:val="single" w:sz="1" w:space="0" w:color="D4B8C8"/>
            </w:tcBorders>
            <w:shd w:val="clear" w:color="auto" w:fill="5B1F4A"/>
            <w:tcMar>
              <w:top w:w="60" w:type="dxa"/>
              <w:left w:w="100" w:type="dxa"/>
              <w:bottom w:w="60" w:type="dxa"/>
              <w:right w:w="100" w:type="dxa"/>
            </w:tcMar>
          </w:tcPr>
          <w:p w14:paraId="153960AF" w14:textId="77777777" w:rsidR="007A68C6" w:rsidRDefault="007A68C6"/>
        </w:tc>
        <w:tc>
          <w:tcPr>
            <w:tcW w:w="2460" w:type="dxa"/>
            <w:tcBorders>
              <w:top w:val="single" w:sz="1" w:space="0" w:color="D4B8C8"/>
              <w:left w:val="single" w:sz="1" w:space="0" w:color="D4B8C8"/>
              <w:bottom w:val="single" w:sz="1" w:space="0" w:color="D4B8C8"/>
              <w:right w:val="single" w:sz="1" w:space="0" w:color="D4B8C8"/>
            </w:tcBorders>
            <w:shd w:val="clear" w:color="auto" w:fill="5B1F4A"/>
            <w:tcMar>
              <w:top w:w="60" w:type="dxa"/>
              <w:left w:w="100" w:type="dxa"/>
              <w:bottom w:w="60" w:type="dxa"/>
              <w:right w:w="100" w:type="dxa"/>
            </w:tcMar>
          </w:tcPr>
          <w:p w14:paraId="553ED777" w14:textId="77777777" w:rsidR="007A68C6" w:rsidRDefault="009B2974">
            <w:r>
              <w:rPr>
                <w:rFonts w:ascii="Arial" w:eastAsia="Arial" w:hAnsi="Arial" w:cs="Arial"/>
                <w:b/>
                <w:bCs/>
                <w:color w:val="FFFFFF"/>
                <w:sz w:val="18"/>
                <w:szCs w:val="18"/>
              </w:rPr>
              <w:t>Assessment Area</w:t>
            </w:r>
          </w:p>
        </w:tc>
        <w:tc>
          <w:tcPr>
            <w:tcW w:w="6000" w:type="dxa"/>
            <w:tcBorders>
              <w:top w:val="single" w:sz="1" w:space="0" w:color="D4B8C8"/>
              <w:left w:val="single" w:sz="1" w:space="0" w:color="D4B8C8"/>
              <w:bottom w:val="single" w:sz="1" w:space="0" w:color="D4B8C8"/>
              <w:right w:val="single" w:sz="1" w:space="0" w:color="D4B8C8"/>
            </w:tcBorders>
            <w:shd w:val="clear" w:color="auto" w:fill="5B1F4A"/>
            <w:tcMar>
              <w:top w:w="60" w:type="dxa"/>
              <w:left w:w="100" w:type="dxa"/>
              <w:bottom w:w="60" w:type="dxa"/>
              <w:right w:w="100" w:type="dxa"/>
            </w:tcMar>
          </w:tcPr>
          <w:p w14:paraId="66DCCB6B" w14:textId="77777777" w:rsidR="007A68C6" w:rsidRDefault="009B2974">
            <w:r>
              <w:rPr>
                <w:rFonts w:ascii="Arial" w:eastAsia="Arial" w:hAnsi="Arial" w:cs="Arial"/>
                <w:b/>
                <w:bCs/>
                <w:color w:val="FFFFFF"/>
                <w:sz w:val="18"/>
                <w:szCs w:val="18"/>
              </w:rPr>
              <w:t>What It Measures</w:t>
            </w:r>
          </w:p>
        </w:tc>
      </w:tr>
      <w:tr w:rsidR="007A68C6" w14:paraId="3D9AB3CD" w14:textId="77777777">
        <w:tblPrEx>
          <w:tblCellMar>
            <w:top w:w="0" w:type="dxa"/>
            <w:bottom w:w="0" w:type="dxa"/>
          </w:tblCellMar>
        </w:tblPrEx>
        <w:tc>
          <w:tcPr>
            <w:tcW w:w="9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8BFF109" w14:textId="77777777" w:rsidR="007A68C6" w:rsidRDefault="009B2974">
            <w:r>
              <w:rPr>
                <w:rFonts w:ascii="Arial" w:eastAsia="Arial" w:hAnsi="Arial" w:cs="Arial"/>
                <w:b/>
                <w:bCs/>
                <w:color w:val="5B1F4A"/>
                <w:sz w:val="18"/>
                <w:szCs w:val="18"/>
              </w:rPr>
              <w:t>Part 1</w:t>
            </w:r>
          </w:p>
        </w:tc>
        <w:tc>
          <w:tcPr>
            <w:tcW w:w="24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68EE199" w14:textId="77777777" w:rsidR="007A68C6" w:rsidRDefault="009B2974">
            <w:r>
              <w:rPr>
                <w:rFonts w:ascii="Arial" w:eastAsia="Arial" w:hAnsi="Arial" w:cs="Arial"/>
                <w:b/>
                <w:bCs/>
                <w:color w:val="5B1F4A"/>
                <w:sz w:val="18"/>
                <w:szCs w:val="18"/>
              </w:rPr>
              <w:t>Dimensions of Connection</w:t>
            </w:r>
          </w:p>
        </w:tc>
        <w:tc>
          <w:tcPr>
            <w:tcW w:w="60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6271AA2F" w14:textId="51ACD413" w:rsidR="007A68C6" w:rsidRDefault="009B2974">
            <w:r>
              <w:rPr>
                <w:rFonts w:ascii="Arial" w:eastAsia="Arial" w:hAnsi="Arial" w:cs="Arial"/>
                <w:color w:val="555555"/>
                <w:sz w:val="18"/>
                <w:szCs w:val="18"/>
              </w:rPr>
              <w:t xml:space="preserve">Physical, emotional, intellectual, transactional, cultural/spiritual </w:t>
            </w:r>
            <w:r w:rsidR="00EA2A09">
              <w:rPr>
                <w:rFonts w:ascii="Arial" w:eastAsia="Arial" w:hAnsi="Arial" w:cs="Arial"/>
                <w:color w:val="555555"/>
                <w:sz w:val="18"/>
                <w:szCs w:val="18"/>
              </w:rPr>
              <w:t>-</w:t>
            </w:r>
            <w:r>
              <w:rPr>
                <w:rFonts w:ascii="Arial" w:eastAsia="Arial" w:hAnsi="Arial" w:cs="Arial"/>
                <w:color w:val="555555"/>
                <w:sz w:val="18"/>
                <w:szCs w:val="18"/>
              </w:rPr>
              <w:t xml:space="preserve"> sliding scale weighting of what matters most</w:t>
            </w:r>
          </w:p>
        </w:tc>
      </w:tr>
      <w:tr w:rsidR="007A68C6" w14:paraId="5B124D13" w14:textId="77777777">
        <w:tblPrEx>
          <w:tblCellMar>
            <w:top w:w="0" w:type="dxa"/>
            <w:bottom w:w="0" w:type="dxa"/>
          </w:tblCellMar>
        </w:tblPrEx>
        <w:tc>
          <w:tcPr>
            <w:tcW w:w="9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2F09A6F" w14:textId="77777777" w:rsidR="007A68C6" w:rsidRDefault="009B2974">
            <w:r>
              <w:rPr>
                <w:rFonts w:ascii="Arial" w:eastAsia="Arial" w:hAnsi="Arial" w:cs="Arial"/>
                <w:b/>
                <w:bCs/>
                <w:color w:val="5B1F4A"/>
                <w:sz w:val="18"/>
                <w:szCs w:val="18"/>
              </w:rPr>
              <w:t>Part 2</w:t>
            </w:r>
          </w:p>
        </w:tc>
        <w:tc>
          <w:tcPr>
            <w:tcW w:w="24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136181CC" w14:textId="77777777" w:rsidR="007A68C6" w:rsidRDefault="009B2974">
            <w:r>
              <w:rPr>
                <w:rFonts w:ascii="Arial" w:eastAsia="Arial" w:hAnsi="Arial" w:cs="Arial"/>
                <w:b/>
                <w:bCs/>
                <w:color w:val="5B1F4A"/>
                <w:sz w:val="18"/>
                <w:szCs w:val="18"/>
              </w:rPr>
              <w:t>Dynamics of Interaction</w:t>
            </w:r>
          </w:p>
        </w:tc>
        <w:tc>
          <w:tcPr>
            <w:tcW w:w="60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1EBD3120" w14:textId="0A5F3A04" w:rsidR="002803D0" w:rsidRPr="002803D0" w:rsidRDefault="009B2974">
            <w:pPr>
              <w:rPr>
                <w:rFonts w:ascii="Arial" w:eastAsia="Arial" w:hAnsi="Arial" w:cs="Arial"/>
                <w:color w:val="555555"/>
                <w:sz w:val="18"/>
                <w:szCs w:val="18"/>
              </w:rPr>
            </w:pPr>
            <w:r>
              <w:rPr>
                <w:rFonts w:ascii="Arial" w:eastAsia="Arial" w:hAnsi="Arial" w:cs="Arial"/>
                <w:color w:val="555555"/>
                <w:sz w:val="18"/>
                <w:szCs w:val="18"/>
              </w:rPr>
              <w:t xml:space="preserve">How you relate </w:t>
            </w:r>
            <w:r w:rsidR="002803D0">
              <w:rPr>
                <w:rFonts w:ascii="Arial" w:eastAsia="Arial" w:hAnsi="Arial" w:cs="Arial"/>
                <w:color w:val="555555"/>
                <w:sz w:val="18"/>
                <w:szCs w:val="18"/>
              </w:rPr>
              <w:t>-</w:t>
            </w:r>
            <w:r>
              <w:rPr>
                <w:rFonts w:ascii="Arial" w:eastAsia="Arial" w:hAnsi="Arial" w:cs="Arial"/>
                <w:color w:val="555555"/>
                <w:sz w:val="18"/>
                <w:szCs w:val="18"/>
              </w:rPr>
              <w:t xml:space="preserve"> birds of a feather vs. opposites attract, comfort vs. growth</w:t>
            </w:r>
            <w:r w:rsidR="002803D0">
              <w:rPr>
                <w:rFonts w:ascii="Arial" w:eastAsia="Arial" w:hAnsi="Arial" w:cs="Arial"/>
                <w:color w:val="555555"/>
                <w:sz w:val="18"/>
                <w:szCs w:val="18"/>
              </w:rPr>
              <w:t xml:space="preserve">, challenge or </w:t>
            </w:r>
            <w:r w:rsidR="00FB42E7">
              <w:rPr>
                <w:rFonts w:ascii="Arial" w:eastAsia="Arial" w:hAnsi="Arial" w:cs="Arial"/>
                <w:color w:val="555555"/>
                <w:sz w:val="18"/>
                <w:szCs w:val="18"/>
              </w:rPr>
              <w:t>ease</w:t>
            </w:r>
          </w:p>
        </w:tc>
      </w:tr>
      <w:tr w:rsidR="007A68C6" w14:paraId="2D4DD5B9" w14:textId="77777777">
        <w:tblPrEx>
          <w:tblCellMar>
            <w:top w:w="0" w:type="dxa"/>
            <w:bottom w:w="0" w:type="dxa"/>
          </w:tblCellMar>
        </w:tblPrEx>
        <w:tc>
          <w:tcPr>
            <w:tcW w:w="9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6823B16F" w14:textId="77777777" w:rsidR="007A68C6" w:rsidRDefault="009B2974">
            <w:r>
              <w:rPr>
                <w:rFonts w:ascii="Arial" w:eastAsia="Arial" w:hAnsi="Arial" w:cs="Arial"/>
                <w:b/>
                <w:bCs/>
                <w:color w:val="5B1F4A"/>
                <w:sz w:val="18"/>
                <w:szCs w:val="18"/>
              </w:rPr>
              <w:t>Part 3</w:t>
            </w:r>
          </w:p>
        </w:tc>
        <w:tc>
          <w:tcPr>
            <w:tcW w:w="24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3C5ADFDE" w14:textId="77777777" w:rsidR="007A68C6" w:rsidRDefault="009B2974">
            <w:r>
              <w:rPr>
                <w:rFonts w:ascii="Arial" w:eastAsia="Arial" w:hAnsi="Arial" w:cs="Arial"/>
                <w:b/>
                <w:bCs/>
                <w:color w:val="5B1F4A"/>
                <w:sz w:val="18"/>
                <w:szCs w:val="18"/>
              </w:rPr>
              <w:t>Lifestyle of Partnership</w:t>
            </w:r>
          </w:p>
        </w:tc>
        <w:tc>
          <w:tcPr>
            <w:tcW w:w="60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054B1ABF" w14:textId="2CCF628C" w:rsidR="007A68C6" w:rsidRDefault="009B2974">
            <w:r>
              <w:rPr>
                <w:rFonts w:ascii="Arial" w:eastAsia="Arial" w:hAnsi="Arial" w:cs="Arial"/>
                <w:color w:val="555555"/>
                <w:sz w:val="18"/>
                <w:szCs w:val="18"/>
              </w:rPr>
              <w:t xml:space="preserve">How your lives fit together </w:t>
            </w:r>
            <w:r w:rsidR="00EA2A09">
              <w:rPr>
                <w:rFonts w:ascii="Arial" w:eastAsia="Arial" w:hAnsi="Arial" w:cs="Arial"/>
                <w:color w:val="555555"/>
                <w:sz w:val="18"/>
                <w:szCs w:val="18"/>
              </w:rPr>
              <w:t>-</w:t>
            </w:r>
            <w:r>
              <w:rPr>
                <w:rFonts w:ascii="Arial" w:eastAsia="Arial" w:hAnsi="Arial" w:cs="Arial"/>
                <w:color w:val="555555"/>
                <w:sz w:val="18"/>
                <w:szCs w:val="18"/>
              </w:rPr>
              <w:t xml:space="preserve"> separate but equal </w:t>
            </w:r>
            <w:r w:rsidR="00FB42E7">
              <w:rPr>
                <w:rFonts w:ascii="Arial" w:eastAsia="Arial" w:hAnsi="Arial" w:cs="Arial"/>
                <w:color w:val="555555"/>
                <w:sz w:val="18"/>
                <w:szCs w:val="18"/>
              </w:rPr>
              <w:t>vs</w:t>
            </w:r>
            <w:r>
              <w:rPr>
                <w:rFonts w:ascii="Arial" w:eastAsia="Arial" w:hAnsi="Arial" w:cs="Arial"/>
                <w:color w:val="555555"/>
                <w:sz w:val="18"/>
                <w:szCs w:val="18"/>
              </w:rPr>
              <w:t xml:space="preserve"> fully integrated</w:t>
            </w:r>
          </w:p>
        </w:tc>
      </w:tr>
      <w:tr w:rsidR="007A68C6" w14:paraId="7C843C38" w14:textId="77777777">
        <w:tblPrEx>
          <w:tblCellMar>
            <w:top w:w="0" w:type="dxa"/>
            <w:bottom w:w="0" w:type="dxa"/>
          </w:tblCellMar>
        </w:tblPrEx>
        <w:tc>
          <w:tcPr>
            <w:tcW w:w="9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1E0CE6DC" w14:textId="77777777" w:rsidR="007A68C6" w:rsidRDefault="009B2974">
            <w:r>
              <w:rPr>
                <w:rFonts w:ascii="Arial" w:eastAsia="Arial" w:hAnsi="Arial" w:cs="Arial"/>
                <w:b/>
                <w:bCs/>
                <w:color w:val="5B1F4A"/>
                <w:sz w:val="18"/>
                <w:szCs w:val="18"/>
              </w:rPr>
              <w:t>Part 4</w:t>
            </w:r>
          </w:p>
        </w:tc>
        <w:tc>
          <w:tcPr>
            <w:tcW w:w="24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00158CA" w14:textId="77777777" w:rsidR="007A68C6" w:rsidRDefault="009B2974">
            <w:r>
              <w:rPr>
                <w:rFonts w:ascii="Arial" w:eastAsia="Arial" w:hAnsi="Arial" w:cs="Arial"/>
                <w:b/>
                <w:bCs/>
                <w:color w:val="5B1F4A"/>
                <w:sz w:val="18"/>
                <w:szCs w:val="18"/>
              </w:rPr>
              <w:t>Courtship Style</w:t>
            </w:r>
          </w:p>
        </w:tc>
        <w:tc>
          <w:tcPr>
            <w:tcW w:w="60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EB83989" w14:textId="601288FF" w:rsidR="007A68C6" w:rsidRDefault="009B2974">
            <w:r>
              <w:rPr>
                <w:rFonts w:ascii="Arial" w:eastAsia="Arial" w:hAnsi="Arial" w:cs="Arial"/>
                <w:color w:val="555555"/>
                <w:sz w:val="18"/>
                <w:szCs w:val="18"/>
              </w:rPr>
              <w:t xml:space="preserve">How you give and receive affection </w:t>
            </w:r>
            <w:r w:rsidR="00EA2A09">
              <w:rPr>
                <w:rFonts w:ascii="Arial" w:eastAsia="Arial" w:hAnsi="Arial" w:cs="Arial"/>
                <w:color w:val="555555"/>
                <w:sz w:val="18"/>
                <w:szCs w:val="18"/>
              </w:rPr>
              <w:t>-</w:t>
            </w:r>
            <w:r>
              <w:rPr>
                <w:rFonts w:ascii="Arial" w:eastAsia="Arial" w:hAnsi="Arial" w:cs="Arial"/>
                <w:color w:val="555555"/>
                <w:sz w:val="18"/>
                <w:szCs w:val="18"/>
              </w:rPr>
              <w:t xml:space="preserve"> Nest Builder, Gift Giver, Performer, Guardian, Songbird</w:t>
            </w:r>
          </w:p>
        </w:tc>
      </w:tr>
      <w:tr w:rsidR="007A68C6" w14:paraId="1FBF7542" w14:textId="77777777">
        <w:tblPrEx>
          <w:tblCellMar>
            <w:top w:w="0" w:type="dxa"/>
            <w:bottom w:w="0" w:type="dxa"/>
          </w:tblCellMar>
        </w:tblPrEx>
        <w:tc>
          <w:tcPr>
            <w:tcW w:w="9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78072F7E" w14:textId="77777777" w:rsidR="007A68C6" w:rsidRDefault="009B2974">
            <w:r>
              <w:rPr>
                <w:rFonts w:ascii="Arial" w:eastAsia="Arial" w:hAnsi="Arial" w:cs="Arial"/>
                <w:b/>
                <w:bCs/>
                <w:color w:val="5B1F4A"/>
                <w:sz w:val="18"/>
                <w:szCs w:val="18"/>
              </w:rPr>
              <w:t>Part 5</w:t>
            </w:r>
          </w:p>
        </w:tc>
        <w:tc>
          <w:tcPr>
            <w:tcW w:w="246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46B5FE6B" w14:textId="77777777" w:rsidR="007A68C6" w:rsidRDefault="009B2974">
            <w:r>
              <w:rPr>
                <w:rFonts w:ascii="Arial" w:eastAsia="Arial" w:hAnsi="Arial" w:cs="Arial"/>
                <w:b/>
                <w:bCs/>
                <w:color w:val="5B1F4A"/>
                <w:sz w:val="18"/>
                <w:szCs w:val="18"/>
              </w:rPr>
              <w:t>Core Dynamics</w:t>
            </w:r>
          </w:p>
        </w:tc>
        <w:tc>
          <w:tcPr>
            <w:tcW w:w="6000" w:type="dxa"/>
            <w:tcBorders>
              <w:top w:val="single" w:sz="1" w:space="0" w:color="D4B8C8"/>
              <w:left w:val="single" w:sz="1" w:space="0" w:color="D4B8C8"/>
              <w:bottom w:val="single" w:sz="1" w:space="0" w:color="D4B8C8"/>
              <w:right w:val="single" w:sz="1" w:space="0" w:color="D4B8C8"/>
            </w:tcBorders>
            <w:tcMar>
              <w:top w:w="60" w:type="dxa"/>
              <w:left w:w="100" w:type="dxa"/>
              <w:bottom w:w="60" w:type="dxa"/>
              <w:right w:w="100" w:type="dxa"/>
            </w:tcMar>
          </w:tcPr>
          <w:p w14:paraId="4EEE1C45" w14:textId="636A5436" w:rsidR="007A68C6" w:rsidRDefault="009B2974">
            <w:r>
              <w:rPr>
                <w:rFonts w:ascii="Arial" w:eastAsia="Arial" w:hAnsi="Arial" w:cs="Arial"/>
                <w:color w:val="555555"/>
                <w:sz w:val="18"/>
                <w:szCs w:val="18"/>
              </w:rPr>
              <w:t xml:space="preserve">Stress response patterns </w:t>
            </w:r>
            <w:r w:rsidR="00EA2A09">
              <w:rPr>
                <w:rFonts w:ascii="Arial" w:eastAsia="Arial" w:hAnsi="Arial" w:cs="Arial"/>
                <w:color w:val="555555"/>
                <w:sz w:val="18"/>
                <w:szCs w:val="18"/>
              </w:rPr>
              <w:t>-</w:t>
            </w:r>
            <w:r>
              <w:rPr>
                <w:rFonts w:ascii="Arial" w:eastAsia="Arial" w:hAnsi="Arial" w:cs="Arial"/>
                <w:color w:val="555555"/>
                <w:sz w:val="18"/>
                <w:szCs w:val="18"/>
              </w:rPr>
              <w:t xml:space="preserve"> Fixer, Withdrawer, Pursuer, Rock, Challenger </w:t>
            </w:r>
            <w:r w:rsidR="00EA2A09">
              <w:rPr>
                <w:rFonts w:ascii="Arial" w:eastAsia="Arial" w:hAnsi="Arial" w:cs="Arial"/>
                <w:color w:val="555555"/>
                <w:sz w:val="18"/>
                <w:szCs w:val="18"/>
              </w:rPr>
              <w:t>-</w:t>
            </w:r>
            <w:r>
              <w:rPr>
                <w:rFonts w:ascii="Arial" w:eastAsia="Arial" w:hAnsi="Arial" w:cs="Arial"/>
                <w:color w:val="555555"/>
                <w:sz w:val="18"/>
                <w:szCs w:val="18"/>
              </w:rPr>
              <w:t xml:space="preserve"> self-awareness before the first fight</w:t>
            </w:r>
          </w:p>
        </w:tc>
      </w:tr>
    </w:tbl>
    <w:p w14:paraId="0F0237ED" w14:textId="77777777" w:rsidR="007A68C6" w:rsidRDefault="009B2974">
      <w:pPr>
        <w:pBdr>
          <w:bottom w:val="single" w:sz="2" w:space="3" w:color="D4B8C8"/>
        </w:pBdr>
        <w:spacing w:before="160" w:after="60"/>
      </w:pPr>
      <w:r>
        <w:rPr>
          <w:rFonts w:ascii="Arial" w:eastAsia="Arial" w:hAnsi="Arial" w:cs="Arial"/>
          <w:b/>
          <w:bCs/>
          <w:color w:val="5B1F4A"/>
          <w:sz w:val="21"/>
          <w:szCs w:val="21"/>
        </w:rPr>
        <w:t>Your Relationship Blueprint</w:t>
      </w:r>
    </w:p>
    <w:p w14:paraId="6328357E" w14:textId="77777777" w:rsidR="007A68C6" w:rsidRDefault="009B2974">
      <w:pPr>
        <w:spacing w:after="80"/>
      </w:pPr>
      <w:r>
        <w:rPr>
          <w:rFonts w:ascii="Arial" w:eastAsia="Arial" w:hAnsi="Arial" w:cs="Arial"/>
          <w:color w:val="555555"/>
        </w:rPr>
        <w:t>Every assessment produces a complete compatibility profile — Connection Dimensions, Interaction Style, Lifestyle Structure, Courtship Style, and Core Dynamic under stress. This blueprint is used for matching, for self-awareness, and as a foundation for the Hero’s Relationship Journey curriculum.</w:t>
      </w:r>
    </w:p>
    <w:p w14:paraId="18991E09" w14:textId="77777777" w:rsidR="007A68C6" w:rsidRDefault="009B2974">
      <w:pPr>
        <w:spacing w:after="60"/>
      </w:pPr>
      <w:r>
        <w:rPr>
          <w:rFonts w:ascii="Arial" w:eastAsia="Arial" w:hAnsi="Arial" w:cs="Arial"/>
          <w:i/>
          <w:iCs/>
          <w:color w:val="5B1F4A"/>
        </w:rPr>
        <w:t>Knowing your own blueprint before entering a relationship is Phase 1 for a reason.</w:t>
      </w:r>
    </w:p>
    <w:p w14:paraId="4521EB07" w14:textId="77777777" w:rsidR="007A68C6" w:rsidRDefault="009B2974">
      <w:pPr>
        <w:pBdr>
          <w:bottom w:val="single" w:sz="2" w:space="3" w:color="D4B8C8"/>
        </w:pBdr>
        <w:spacing w:before="160" w:after="60"/>
      </w:pPr>
      <w:r>
        <w:rPr>
          <w:rFonts w:ascii="Arial" w:eastAsia="Arial" w:hAnsi="Arial" w:cs="Arial"/>
          <w:b/>
          <w:bCs/>
          <w:color w:val="5B1F4A"/>
          <w:sz w:val="21"/>
          <w:szCs w:val="21"/>
        </w:rPr>
        <w:t>What Makes It Different</w:t>
      </w:r>
    </w:p>
    <w:p w14:paraId="41424861" w14:textId="77777777" w:rsidR="007A68C6" w:rsidRDefault="009B2974">
      <w:pPr>
        <w:pStyle w:val="ListParagraph"/>
        <w:numPr>
          <w:ilvl w:val="0"/>
          <w:numId w:val="2"/>
        </w:numPr>
        <w:spacing w:after="60"/>
      </w:pPr>
      <w:r>
        <w:rPr>
          <w:rFonts w:ascii="Arial" w:eastAsia="Arial" w:hAnsi="Arial" w:cs="Arial"/>
          <w:b/>
          <w:bCs/>
          <w:color w:val="555555"/>
        </w:rPr>
        <w:t>Goes beyond surface — five dimensions of genuine compatibility mapped before matching</w:t>
      </w:r>
    </w:p>
    <w:p w14:paraId="26DF8D1A" w14:textId="77777777" w:rsidR="007A68C6" w:rsidRDefault="009B2974">
      <w:pPr>
        <w:pStyle w:val="ListParagraph"/>
        <w:numPr>
          <w:ilvl w:val="0"/>
          <w:numId w:val="2"/>
        </w:numPr>
        <w:spacing w:after="60"/>
      </w:pPr>
      <w:r>
        <w:rPr>
          <w:rFonts w:ascii="Arial" w:eastAsia="Arial" w:hAnsi="Arial" w:cs="Arial"/>
          <w:color w:val="555555"/>
        </w:rPr>
        <w:t>Stress response patterns identified upfront — the thing that breaks most relationships is rarely a surprise after the fact</w:t>
      </w:r>
    </w:p>
    <w:p w14:paraId="6934EC72" w14:textId="77777777" w:rsidR="007A68C6" w:rsidRDefault="009B2974">
      <w:pPr>
        <w:pStyle w:val="ListParagraph"/>
        <w:numPr>
          <w:ilvl w:val="0"/>
          <w:numId w:val="2"/>
        </w:numPr>
        <w:spacing w:after="60"/>
      </w:pPr>
      <w:r>
        <w:rPr>
          <w:rFonts w:ascii="Arial" w:eastAsia="Arial" w:hAnsi="Arial" w:cs="Arial"/>
          <w:color w:val="555555"/>
        </w:rPr>
        <w:t>Courtship style matching — how you give and receive affection matters as much as shared values</w:t>
      </w:r>
    </w:p>
    <w:p w14:paraId="2E5FAEA0" w14:textId="77777777" w:rsidR="007A68C6" w:rsidRDefault="009B2974">
      <w:pPr>
        <w:pStyle w:val="ListParagraph"/>
        <w:numPr>
          <w:ilvl w:val="0"/>
          <w:numId w:val="2"/>
        </w:numPr>
        <w:spacing w:after="60"/>
      </w:pPr>
      <w:r>
        <w:rPr>
          <w:rFonts w:ascii="Arial" w:eastAsia="Arial" w:hAnsi="Arial" w:cs="Arial"/>
          <w:color w:val="555555"/>
        </w:rPr>
        <w:t>Integrates directly into the Hero’s Relationship Journey — the blueprint becomes your starting point for the full curriculum</w:t>
      </w:r>
    </w:p>
    <w:p w14:paraId="27BB0878" w14:textId="77777777" w:rsidR="007A68C6" w:rsidRDefault="009B2974">
      <w:pPr>
        <w:pStyle w:val="ListParagraph"/>
        <w:numPr>
          <w:ilvl w:val="0"/>
          <w:numId w:val="2"/>
        </w:numPr>
        <w:spacing w:after="60"/>
      </w:pPr>
      <w:proofErr w:type="gramStart"/>
      <w:r>
        <w:rPr>
          <w:rFonts w:ascii="Arial" w:eastAsia="Arial" w:hAnsi="Arial" w:cs="Arial"/>
          <w:color w:val="555555"/>
        </w:rPr>
        <w:t>Inclusive</w:t>
      </w:r>
      <w:proofErr w:type="gramEnd"/>
      <w:r>
        <w:rPr>
          <w:rFonts w:ascii="Arial" w:eastAsia="Arial" w:hAnsi="Arial" w:cs="Arial"/>
          <w:color w:val="555555"/>
        </w:rPr>
        <w:t xml:space="preserve"> by design — no heteronormative assumptions, works for every relationship type and orientation</w:t>
      </w:r>
    </w:p>
    <w:p w14:paraId="4D409CFD" w14:textId="77777777" w:rsidR="007A68C6" w:rsidRDefault="009B2974">
      <w:pPr>
        <w:pBdr>
          <w:bottom w:val="single" w:sz="2" w:space="3" w:color="D4B8C8"/>
        </w:pBdr>
        <w:spacing w:before="160" w:after="60"/>
      </w:pPr>
      <w:r>
        <w:rPr>
          <w:rFonts w:ascii="Arial" w:eastAsia="Arial" w:hAnsi="Arial" w:cs="Arial"/>
          <w:b/>
          <w:bCs/>
          <w:color w:val="5B1F4A"/>
          <w:sz w:val="21"/>
          <w:szCs w:val="21"/>
        </w:rPr>
        <w:t>Status &amp; Investment Opportunity</w:t>
      </w:r>
    </w:p>
    <w:p w14:paraId="55BA588B" w14:textId="086DA0EC" w:rsidR="007A68C6" w:rsidRDefault="009B2974" w:rsidP="00F10150">
      <w:pPr>
        <w:spacing w:after="80"/>
      </w:pPr>
      <w:r>
        <w:rPr>
          <w:rFonts w:ascii="Arial" w:eastAsia="Arial" w:hAnsi="Arial" w:cs="Arial"/>
          <w:color w:val="555555"/>
        </w:rPr>
        <w:t xml:space="preserve">An interactive demo is live at intimology.org </w:t>
      </w:r>
      <w:r w:rsidR="001B2D8D">
        <w:rPr>
          <w:rFonts w:ascii="Arial" w:eastAsia="Arial" w:hAnsi="Arial" w:cs="Arial"/>
          <w:color w:val="555555"/>
        </w:rPr>
        <w:t>-</w:t>
      </w:r>
      <w:r>
        <w:rPr>
          <w:rFonts w:ascii="Arial" w:eastAsia="Arial" w:hAnsi="Arial" w:cs="Arial"/>
          <w:color w:val="555555"/>
        </w:rPr>
        <w:t xml:space="preserve"> the full five-part assessment and sample results page are available to explore now. Full app development is pending investment. The framework is complete. The curriculum integration is mapped. Development partners and investors are invited to review the demo and discuss next steps.</w:t>
      </w:r>
    </w:p>
    <w:sectPr w:rsidR="007A68C6">
      <w:headerReference w:type="default" r:id="rId7"/>
      <w:footerReference w:type="default" r:id="rId8"/>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1F5F1" w14:textId="77777777" w:rsidR="009B2974" w:rsidRDefault="009B2974" w:rsidP="00F10150">
      <w:r>
        <w:separator/>
      </w:r>
    </w:p>
  </w:endnote>
  <w:endnote w:type="continuationSeparator" w:id="0">
    <w:p w14:paraId="4832093C" w14:textId="77777777" w:rsidR="009B2974" w:rsidRDefault="009B2974" w:rsidP="00F10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CBA00" w14:textId="162F5312" w:rsidR="00F10150" w:rsidRDefault="00F10150" w:rsidP="00F10150">
    <w:pPr>
      <w:pBdr>
        <w:top w:val="single" w:sz="3" w:space="4" w:color="C8A96E"/>
      </w:pBdr>
      <w:spacing w:before="120"/>
      <w:jc w:val="center"/>
    </w:pPr>
    <w:proofErr w:type="gramStart"/>
    <w:r>
      <w:rPr>
        <w:rFonts w:ascii="Arial" w:eastAsia="Arial" w:hAnsi="Arial" w:cs="Arial"/>
        <w:color w:val="555555"/>
        <w:sz w:val="17"/>
        <w:szCs w:val="17"/>
      </w:rPr>
      <w:t>intimology.org  |</w:t>
    </w:r>
    <w:proofErr w:type="gramEnd"/>
    <w:r>
      <w:rPr>
        <w:rFonts w:ascii="Arial" w:eastAsia="Arial" w:hAnsi="Arial" w:cs="Arial"/>
        <w:color w:val="555555"/>
        <w:sz w:val="17"/>
        <w:szCs w:val="17"/>
      </w:rPr>
      <w:t xml:space="preserve">  </w:t>
    </w:r>
    <w:proofErr w:type="gramStart"/>
    <w:r>
      <w:rPr>
        <w:rFonts w:ascii="Arial" w:eastAsia="Arial" w:hAnsi="Arial" w:cs="Arial"/>
        <w:color w:val="555555"/>
        <w:sz w:val="17"/>
        <w:szCs w:val="17"/>
      </w:rPr>
      <w:t>ask@intimology.org  |</w:t>
    </w:r>
    <w:proofErr w:type="gramEnd"/>
    <w:r>
      <w:rPr>
        <w:rFonts w:ascii="Arial" w:eastAsia="Arial" w:hAnsi="Arial" w:cs="Arial"/>
        <w:color w:val="555555"/>
        <w:sz w:val="17"/>
        <w:szCs w:val="17"/>
      </w:rPr>
      <w:t xml:space="preserve">  509-383-8380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2AA3E" w14:textId="77777777" w:rsidR="009B2974" w:rsidRDefault="009B2974" w:rsidP="00F10150">
      <w:r>
        <w:separator/>
      </w:r>
    </w:p>
  </w:footnote>
  <w:footnote w:type="continuationSeparator" w:id="0">
    <w:p w14:paraId="231A2B14" w14:textId="77777777" w:rsidR="009B2974" w:rsidRDefault="009B2974" w:rsidP="00F101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36B2" w14:textId="77777777" w:rsidR="00F10150" w:rsidRDefault="00F10150" w:rsidP="00F10150">
    <w:pPr>
      <w:spacing w:after="60"/>
      <w:jc w:val="center"/>
      <w:rPr>
        <w:rFonts w:ascii="Arial" w:eastAsia="Arial" w:hAnsi="Arial" w:cs="Arial"/>
        <w:i/>
        <w:iCs/>
        <w:color w:val="5B1F4A"/>
      </w:rPr>
    </w:pPr>
    <w:r>
      <w:rPr>
        <w:rFonts w:ascii="Arial" w:eastAsia="Arial" w:hAnsi="Arial" w:cs="Arial"/>
        <w:i/>
        <w:iCs/>
        <w:color w:val="5B1F4A"/>
      </w:rPr>
      <w:t xml:space="preserve">The framework exists. The market is everyone who has ever been on a bad date. </w:t>
    </w:r>
  </w:p>
  <w:p w14:paraId="013A3293" w14:textId="07673B2F" w:rsidR="00F10150" w:rsidRDefault="00F10150" w:rsidP="00F10150">
    <w:pPr>
      <w:spacing w:after="60"/>
      <w:jc w:val="center"/>
    </w:pPr>
    <w:r>
      <w:rPr>
        <w:rFonts w:ascii="Arial" w:eastAsia="Arial" w:hAnsi="Arial" w:cs="Arial"/>
        <w:i/>
        <w:iCs/>
        <w:color w:val="5B1F4A"/>
      </w:rPr>
      <w:t>Development funding turns a working concept into a scalable product.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268EF"/>
    <w:multiLevelType w:val="hybridMultilevel"/>
    <w:tmpl w:val="CDE2DBFE"/>
    <w:lvl w:ilvl="0" w:tplc="4398786C">
      <w:start w:val="1"/>
      <w:numFmt w:val="bullet"/>
      <w:lvlText w:val="●"/>
      <w:lvlJc w:val="left"/>
      <w:pPr>
        <w:ind w:left="720" w:hanging="360"/>
      </w:pPr>
    </w:lvl>
    <w:lvl w:ilvl="1" w:tplc="50867AC8">
      <w:start w:val="1"/>
      <w:numFmt w:val="bullet"/>
      <w:lvlText w:val="○"/>
      <w:lvlJc w:val="left"/>
      <w:pPr>
        <w:ind w:left="1440" w:hanging="360"/>
      </w:pPr>
    </w:lvl>
    <w:lvl w:ilvl="2" w:tplc="B04E2C14">
      <w:start w:val="1"/>
      <w:numFmt w:val="bullet"/>
      <w:lvlText w:val="■"/>
      <w:lvlJc w:val="left"/>
      <w:pPr>
        <w:ind w:left="2160" w:hanging="360"/>
      </w:pPr>
    </w:lvl>
    <w:lvl w:ilvl="3" w:tplc="89E0ED38">
      <w:start w:val="1"/>
      <w:numFmt w:val="bullet"/>
      <w:lvlText w:val="●"/>
      <w:lvlJc w:val="left"/>
      <w:pPr>
        <w:ind w:left="2880" w:hanging="360"/>
      </w:pPr>
    </w:lvl>
    <w:lvl w:ilvl="4" w:tplc="14288700">
      <w:start w:val="1"/>
      <w:numFmt w:val="bullet"/>
      <w:lvlText w:val="○"/>
      <w:lvlJc w:val="left"/>
      <w:pPr>
        <w:ind w:left="3600" w:hanging="360"/>
      </w:pPr>
    </w:lvl>
    <w:lvl w:ilvl="5" w:tplc="6CB853AC">
      <w:start w:val="1"/>
      <w:numFmt w:val="bullet"/>
      <w:lvlText w:val="■"/>
      <w:lvlJc w:val="left"/>
      <w:pPr>
        <w:ind w:left="4320" w:hanging="360"/>
      </w:pPr>
    </w:lvl>
    <w:lvl w:ilvl="6" w:tplc="5BF8A7F0">
      <w:start w:val="1"/>
      <w:numFmt w:val="bullet"/>
      <w:lvlText w:val="●"/>
      <w:lvlJc w:val="left"/>
      <w:pPr>
        <w:ind w:left="5040" w:hanging="360"/>
      </w:pPr>
    </w:lvl>
    <w:lvl w:ilvl="7" w:tplc="0E3C6FE4">
      <w:start w:val="1"/>
      <w:numFmt w:val="bullet"/>
      <w:lvlText w:val="●"/>
      <w:lvlJc w:val="left"/>
      <w:pPr>
        <w:ind w:left="5760" w:hanging="360"/>
      </w:pPr>
    </w:lvl>
    <w:lvl w:ilvl="8" w:tplc="1E38A378">
      <w:start w:val="1"/>
      <w:numFmt w:val="bullet"/>
      <w:lvlText w:val="●"/>
      <w:lvlJc w:val="left"/>
      <w:pPr>
        <w:ind w:left="6480" w:hanging="360"/>
      </w:pPr>
    </w:lvl>
  </w:abstractNum>
  <w:abstractNum w:abstractNumId="1" w15:restartNumberingAfterBreak="0">
    <w:nsid w:val="3BFF5516"/>
    <w:multiLevelType w:val="hybridMultilevel"/>
    <w:tmpl w:val="EF32ECF6"/>
    <w:lvl w:ilvl="0" w:tplc="50961AEE">
      <w:start w:val="1"/>
      <w:numFmt w:val="bullet"/>
      <w:lvlText w:val="•"/>
      <w:lvlJc w:val="left"/>
      <w:pPr>
        <w:ind w:left="360" w:hanging="360"/>
      </w:pPr>
    </w:lvl>
    <w:lvl w:ilvl="1" w:tplc="6A107628">
      <w:numFmt w:val="decimal"/>
      <w:lvlText w:val=""/>
      <w:lvlJc w:val="left"/>
    </w:lvl>
    <w:lvl w:ilvl="2" w:tplc="6F5EE506">
      <w:numFmt w:val="decimal"/>
      <w:lvlText w:val=""/>
      <w:lvlJc w:val="left"/>
    </w:lvl>
    <w:lvl w:ilvl="3" w:tplc="C850399A">
      <w:numFmt w:val="decimal"/>
      <w:lvlText w:val=""/>
      <w:lvlJc w:val="left"/>
    </w:lvl>
    <w:lvl w:ilvl="4" w:tplc="1CE62ECE">
      <w:numFmt w:val="decimal"/>
      <w:lvlText w:val=""/>
      <w:lvlJc w:val="left"/>
    </w:lvl>
    <w:lvl w:ilvl="5" w:tplc="E182CCD8">
      <w:numFmt w:val="decimal"/>
      <w:lvlText w:val=""/>
      <w:lvlJc w:val="left"/>
    </w:lvl>
    <w:lvl w:ilvl="6" w:tplc="20AA763A">
      <w:numFmt w:val="decimal"/>
      <w:lvlText w:val=""/>
      <w:lvlJc w:val="left"/>
    </w:lvl>
    <w:lvl w:ilvl="7" w:tplc="1ED8BC5C">
      <w:numFmt w:val="decimal"/>
      <w:lvlText w:val=""/>
      <w:lvlJc w:val="left"/>
    </w:lvl>
    <w:lvl w:ilvl="8" w:tplc="913AD28E">
      <w:numFmt w:val="decimal"/>
      <w:lvlText w:val=""/>
      <w:lvlJc w:val="left"/>
    </w:lvl>
  </w:abstractNum>
  <w:num w:numId="1" w16cid:durableId="1791779142">
    <w:abstractNumId w:val="0"/>
    <w:lvlOverride w:ilvl="0">
      <w:startOverride w:val="1"/>
    </w:lvlOverride>
  </w:num>
  <w:num w:numId="2" w16cid:durableId="190048283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68C6"/>
    <w:rsid w:val="001B2D8D"/>
    <w:rsid w:val="002803D0"/>
    <w:rsid w:val="00304D91"/>
    <w:rsid w:val="007A68C6"/>
    <w:rsid w:val="00841F7D"/>
    <w:rsid w:val="009B2974"/>
    <w:rsid w:val="00EA2A09"/>
    <w:rsid w:val="00F10150"/>
    <w:rsid w:val="00FB4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DE0C6"/>
  <w15:docId w15:val="{D3385423-B9F3-41BD-90B3-82505F8F6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10150"/>
    <w:pPr>
      <w:tabs>
        <w:tab w:val="center" w:pos="4680"/>
        <w:tab w:val="right" w:pos="9360"/>
      </w:tabs>
    </w:pPr>
  </w:style>
  <w:style w:type="character" w:customStyle="1" w:styleId="HeaderChar">
    <w:name w:val="Header Char"/>
    <w:basedOn w:val="DefaultParagraphFont"/>
    <w:link w:val="Header"/>
    <w:uiPriority w:val="99"/>
    <w:rsid w:val="00F10150"/>
  </w:style>
  <w:style w:type="paragraph" w:styleId="Footer">
    <w:name w:val="footer"/>
    <w:basedOn w:val="Normal"/>
    <w:link w:val="FooterChar"/>
    <w:uiPriority w:val="99"/>
    <w:unhideWhenUsed/>
    <w:rsid w:val="00F10150"/>
    <w:pPr>
      <w:tabs>
        <w:tab w:val="center" w:pos="4680"/>
        <w:tab w:val="right" w:pos="9360"/>
      </w:tabs>
    </w:pPr>
  </w:style>
  <w:style w:type="character" w:customStyle="1" w:styleId="FooterChar">
    <w:name w:val="Footer Char"/>
    <w:basedOn w:val="DefaultParagraphFont"/>
    <w:link w:val="Footer"/>
    <w:uiPriority w:val="99"/>
    <w:rsid w:val="00F101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447</Words>
  <Characters>2695</Characters>
  <Application>Microsoft Office Word</Application>
  <DocSecurity>0</DocSecurity>
  <Lines>59</Lines>
  <Paragraphs>43</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oriana landt</cp:lastModifiedBy>
  <cp:revision>7</cp:revision>
  <dcterms:created xsi:type="dcterms:W3CDTF">2026-06-25T08:07:00Z</dcterms:created>
  <dcterms:modified xsi:type="dcterms:W3CDTF">2026-06-25T08:11:00Z</dcterms:modified>
</cp:coreProperties>
</file>